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570C81" w:rsidRPr="00570C81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4E639C" w:rsidRPr="00723125">
        <w:rPr>
          <w:rFonts w:ascii="Times New Roman" w:hAnsi="Times New Roman" w:cs="Times New Roman"/>
          <w:b/>
        </w:rPr>
        <w:t xml:space="preserve">направлению </w:t>
      </w:r>
      <w:r w:rsidR="004E639C">
        <w:rPr>
          <w:rFonts w:ascii="Times New Roman" w:hAnsi="Times New Roman" w:cs="Times New Roman"/>
          <w:b/>
        </w:rPr>
        <w:t xml:space="preserve">20.03.01 </w:t>
      </w:r>
      <w:r w:rsidRPr="00723125">
        <w:rPr>
          <w:rFonts w:ascii="Times New Roman" w:hAnsi="Times New Roman" w:cs="Times New Roman"/>
          <w:b/>
        </w:rPr>
        <w:t>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4E639C">
        <w:rPr>
          <w:rFonts w:ascii="Times New Roman" w:hAnsi="Times New Roman" w:cs="Times New Roman"/>
          <w:b/>
        </w:rPr>
        <w:t xml:space="preserve">Системы обеспечения </w:t>
      </w:r>
      <w:r w:rsidR="002A3A9B">
        <w:rPr>
          <w:rFonts w:ascii="Times New Roman" w:hAnsi="Times New Roman" w:cs="Times New Roman"/>
          <w:b/>
        </w:rPr>
        <w:t>промышленной</w:t>
      </w:r>
      <w:r w:rsidR="004E639C">
        <w:rPr>
          <w:rFonts w:ascii="Times New Roman" w:hAnsi="Times New Roman" w:cs="Times New Roman"/>
          <w:b/>
        </w:rPr>
        <w:t xml:space="preserve"> безопасности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и цели системы обеспечения промышленной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Детерминированный и вероятностный подходы к нормированию в области обеспечения промышленной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Методы и средства обеспечения промышленной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Идентификация опасных производственных </w:t>
      </w:r>
      <w:bookmarkStart w:id="0" w:name="_GoBack"/>
      <w:bookmarkEnd w:id="0"/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Категорирование и классификация объектов как система обеспечения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Категорирование и классификация опасных производственных объектов как мера оценки 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обеспечения промышленной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Выбор способа производства и схемы технологического процесса как средство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стандартов и правил как средство безопасности. Технологический регламент производств. Состав технологических регламентов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промышленной безопасностью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Нормативно-правовое обеспечение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безопасности при эксплуатации опасных производственных объектов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Система государственного надзора и производственного контроля за соблюдением требований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учета аварийности и травматизма на опасных производственных объектах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промышленной безопасности при функционировании опасного производственного объекта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Идентификация опасных производственных объектов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опасных производственных объектов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в области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работников, эксплуатирующих опасные производственные объекты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Расследование аварий и несчастных случаев на опасных производственных объектах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как важный элемент системы обеспечения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Виды ответственности за нарушение требований промышленной безопасности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Аварийно-спасательные службы и формирования по ликвидации аварий на опасных производственных объектах нефтяной и газовой промышленности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Аварийно-спасательные службы и формирования по ликвидации аварий на химических, нефтехимических и нефтеперерабатывающих предприятиях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Аварийно-спасательные службы и формирования по ликвидации аварий на предприятиях горнорудной промышленности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P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Аварийно-спасательные службы и формирования по ликвидации аварий на предприятиях металлургической промышленности</w:t>
      </w:r>
      <w:r w:rsidR="00BC51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264" w:rsidRDefault="00150264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26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надзор и контроль в системе обеспечения безопасности опасных производственных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5182" w:rsidRPr="00150264" w:rsidRDefault="00BC5182" w:rsidP="0015026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Декларирование промышленной безопасности.</w:t>
      </w:r>
    </w:p>
    <w:sectPr w:rsidR="00BC5182" w:rsidRPr="00150264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571"/>
    <w:multiLevelType w:val="hybridMultilevel"/>
    <w:tmpl w:val="F00A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150264"/>
    <w:rsid w:val="00274410"/>
    <w:rsid w:val="002A3A9B"/>
    <w:rsid w:val="0031276E"/>
    <w:rsid w:val="00421D3E"/>
    <w:rsid w:val="00454E5F"/>
    <w:rsid w:val="004E639C"/>
    <w:rsid w:val="004F2DA9"/>
    <w:rsid w:val="00570C81"/>
    <w:rsid w:val="005B7002"/>
    <w:rsid w:val="00613A27"/>
    <w:rsid w:val="006664AF"/>
    <w:rsid w:val="007C6857"/>
    <w:rsid w:val="008261F9"/>
    <w:rsid w:val="008D2AD1"/>
    <w:rsid w:val="0093530B"/>
    <w:rsid w:val="009E1452"/>
    <w:rsid w:val="00A30D0F"/>
    <w:rsid w:val="00B00AD4"/>
    <w:rsid w:val="00BC5182"/>
    <w:rsid w:val="00CE08E1"/>
    <w:rsid w:val="00E34524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52D7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2022-09-30T10:53:00Z</dcterms:created>
  <dcterms:modified xsi:type="dcterms:W3CDTF">2023-11-01T10:48:00Z</dcterms:modified>
</cp:coreProperties>
</file>