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p>
    <w:p w14:paraId="12A0C576" w14:textId="77777777" w:rsidR="00D01C00" w:rsidRPr="000962CD" w:rsidRDefault="00D01C00" w:rsidP="0053018E">
      <w:pPr>
        <w:widowControl/>
        <w:jc w:val="center"/>
        <w:rPr>
          <w:b/>
          <w:sz w:val="32"/>
          <w:szCs w:val="32"/>
        </w:rPr>
      </w:pPr>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4FDFF2EF"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по профессиональному модулю ПМ.0</w:t>
            </w:r>
            <w:r w:rsidR="00033010">
              <w:rPr>
                <w:spacing w:val="-5"/>
                <w:sz w:val="28"/>
                <w:szCs w:val="28"/>
              </w:rPr>
              <w:t xml:space="preserve">3 </w:t>
            </w:r>
            <w:r w:rsidR="00033010" w:rsidRPr="00033010">
              <w:rPr>
                <w:spacing w:val="-5"/>
                <w:sz w:val="28"/>
                <w:szCs w:val="28"/>
              </w:rPr>
              <w:t>Организация и выполнение работ по монтажу, наладке и эксплуатации электрических сетей</w:t>
            </w:r>
            <w:r w:rsidR="00033010">
              <w:rPr>
                <w:spacing w:val="-5"/>
                <w:sz w:val="28"/>
                <w:szCs w:val="28"/>
              </w:rPr>
              <w:t xml:space="preserve"> </w:t>
            </w:r>
            <w:r w:rsidRPr="00516087">
              <w:rPr>
                <w:color w:val="FF0000"/>
                <w:spacing w:val="-5"/>
                <w:sz w:val="28"/>
                <w:szCs w:val="28"/>
                <w:u w:val="single"/>
              </w:rPr>
              <w:t>0920-2021-15</w:t>
            </w:r>
          </w:p>
          <w:p w14:paraId="1BF2ED38" w14:textId="63CA4C1E" w:rsidR="00516087" w:rsidRDefault="00516087" w:rsidP="00897CFB">
            <w:pPr>
              <w:shd w:val="clear" w:color="auto" w:fill="FFFFFF"/>
              <w:tabs>
                <w:tab w:val="left" w:leader="underscore" w:pos="-7513"/>
              </w:tabs>
              <w:jc w:val="center"/>
              <w:rPr>
                <w:b/>
                <w:sz w:val="32"/>
                <w:szCs w:val="32"/>
              </w:rPr>
            </w:pPr>
            <w:r w:rsidRPr="000962CD">
              <w:rPr>
                <w:spacing w:val="-5"/>
                <w:sz w:val="16"/>
                <w:szCs w:val="16"/>
              </w:rPr>
              <w:t xml:space="preserve">                     </w:t>
            </w:r>
            <w:r w:rsidR="00033010">
              <w:rPr>
                <w:spacing w:val="-5"/>
                <w:sz w:val="16"/>
                <w:szCs w:val="16"/>
              </w:rPr>
              <w:t xml:space="preserve">                                                                                                                                                                  </w:t>
            </w:r>
            <w:r w:rsidRPr="000962CD">
              <w:rPr>
                <w:spacing w:val="-5"/>
                <w:sz w:val="16"/>
                <w:szCs w:val="16"/>
              </w:rPr>
              <w:t xml:space="preserve"> 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2F3CD9">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2F3CD9">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2F3CD9">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2F3CD9">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2F3CD9">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2F3CD9">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0"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0"/>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Строительство станции началось в 1896 году, а 28 ноября 1897 года состоялся пуск первой очереди Раушской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Электростанция всегда считалась кузницей энергетических кадров. До 1917 года на ней работали такие известные энергетики, как Роберт Классон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1946 году в Москву пришел саратовский газ. Это произошло 11 июля 1946 года – в этот день котельная Карачаровской газгельдерной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«Пинча»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дашавского газа и газа Щекинского и Расторгуевского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1949 году закончился монтаж и была включена в эксплуатацию подстанция «Раушская», строительство которой началось перед самым началом войны. Осуществлена связь подстанции с высоковольтным кольцом Мосэнерго двумя кабелями 110 кВ. В 1951 году 3-я реконструкция была продолжена. Введены в эксплуатацию: новый теплофикационный блок № 30 (27,1 МВт), теплофикационная установка из шести сетевых водоподогревателей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1950 году начались опытные работы по введению в эксплуатацию новой автоматизированной химводоочистки, работающей по схеме «H-Na-катионирования». К 1955 году была произведена автоматизация всей химводоочистки.</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1954 году демонтированы три старых турбогенератора. Взамен установлен новый теплофикационный турбогенератор (33 атм, 425°С, 16 МВт). Смонтирована новая теплофикационная установка из шести сетевых водоподогревателей.</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составила 716 кВт/ч, отпуск теплоэнергии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«Метро-Виккерс»,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«Раушская».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Устьинский мост. Отпуск теплоэнергии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Началась модернизация оборудования РУ-110/6 кВ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замазученных вод, освоена горелка двухступенчатого сжигания мазута на котле № 2-В (1987 год), заменено оборудование главного щита управления. Закончена реконструкция распредустройств 110/6 кВ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«Метро-Виккерс» на отечественные по 12 МВт, реконструированы береговые водозаборные устройства с рыбозащитными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газомазутный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«Барзис»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«Атомэнергомаш»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Атомэнергомаш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«Бабкок - Вилькокс». Сложность проектирования состояла в том, что в старую котельную ячейку, на место старого парового котла немецкой фирмы «Бабкок-Вилькокс»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теплоэнергия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теплоэнергию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Бабкокс-Вилькокс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Буккау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Уст. мощн.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(тыс.кВт·ч)</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(Ккал/КВт.час)</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r w:rsidRPr="000D0651">
              <w:rPr>
                <w:b/>
                <w:bCs/>
                <w:color w:val="FF0000"/>
                <w:lang w:eastAsia="en-US"/>
              </w:rPr>
              <w:t>Среднегод.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6 гор.в 2 яр. на фр. ст.+4 сопла втор.дутья</w:t>
            </w:r>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18 гор. в 2 яруса на бок.стенах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16 гор. в 2 яруса на фронт.и задн.стенах</w:t>
            </w:r>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12 гор. на фронт.и задн.стенах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hyperlink r:id="rId41" w:tooltip="Киловатт-час" w:history="1">
              <w:r w:rsidRPr="000D0651">
                <w:rPr>
                  <w:rStyle w:val="aa"/>
                  <w:color w:val="FF0000"/>
                  <w:sz w:val="24"/>
                  <w:szCs w:val="24"/>
                  <w:lang w:eastAsia="en-US"/>
                </w:rPr>
                <w:t>кВт·ч</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2"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3"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колеблется от 8 до 12 кВт·ч/м³),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кВ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вентиляторные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водоуловителями. Водоснабжение осуществляется от Москвы-реки. В здании химводоочистки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1"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содержание энергетического, электротехнического и электротехнологического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4"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 т.ч.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чел.-дн.</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2"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зарядных и подзарядных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lastRenderedPageBreak/>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lastRenderedPageBreak/>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3"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3"/>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рассредоточенность;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токопроводами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lastRenderedPageBreak/>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6">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грозозащиты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lastRenderedPageBreak/>
        <w:t xml:space="preserve">Третий блок объединяет все электроприемники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теплоэнергоцентрали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lastRenderedPageBreak/>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r w:rsidRPr="00B775FF">
        <w:rPr>
          <w:color w:val="FF0000"/>
          <w:sz w:val="24"/>
          <w:szCs w:val="24"/>
        </w:rPr>
        <w:t>]</w:t>
      </w:r>
      <w:r w:rsidRPr="000D0651">
        <w:rPr>
          <w:color w:val="FF0000"/>
          <w:sz w:val="24"/>
          <w:szCs w:val="24"/>
        </w:rPr>
        <w:t>.трансформат</w:t>
      </w:r>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Схемы электроснабжения собственных нужд гэс</w:t>
      </w:r>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(приплотинная,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ные электродвигатели напряжением 6 кВ, поэтому распределение электроэнергии осуществляется на напряжении 0,4/0,23 кВ.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токопроводам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соединенных к РУ 220 кВ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lastRenderedPageBreak/>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r w:rsidRPr="000D0651">
        <w:rPr>
          <w:bCs/>
          <w:i/>
          <w:iCs/>
          <w:color w:val="FF0000"/>
          <w:sz w:val="24"/>
          <w:szCs w:val="24"/>
        </w:rPr>
        <w:t>общестанционные</w:t>
      </w:r>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Агрегатные с. н. питаются от отдельных секций 0,4/0,23 кВ. Часть потребителей общестанционных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ления электроэнергии на более высоком напряжении (3,6 или 10 кВ).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служат для питания общестанционных нагрузок. Резервное питание сек</w:t>
      </w:r>
      <w:r w:rsidRPr="000D0651">
        <w:rPr>
          <w:color w:val="FF0000"/>
          <w:sz w:val="24"/>
          <w:szCs w:val="24"/>
        </w:rPr>
        <w:softHyphen/>
        <w:t>ций 6 кВ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тели с.н.,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ных и общестанционных потребителей. Агрегатные сборки 0,4 кВ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ляется от трансформаторов, присоединенных к РУ с. н. 6—10 кВ,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lastRenderedPageBreak/>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Циркуляция воды в теплообменниках и газоохладителях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четырёхполюсные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lastRenderedPageBreak/>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lastRenderedPageBreak/>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ротора и статора устройств такого типа охлаждаются при помощи непосредственной подачи воды. Сталь сердечника статора отстужается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газоохладители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тиристорная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помощи термопреобразователей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данных агрегатах устанавливают и специальные системы защиты. Такая характеристика турбогенератора сообщает о снижении уровня воды, расходуемой в газоохладителе.</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lastRenderedPageBreak/>
        <w:t>Компенсатор Реактивной Мощности (КРМ)</w:t>
      </w:r>
      <w:r w:rsidRPr="000D0651">
        <w:rPr>
          <w:color w:val="FF0000"/>
        </w:rPr>
        <w:t> является одним из видов электроустановочного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(cos φ) электроустановок промышленных предприятий и распределительных сетей напряжением 0,4 кВ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автоматически отслеживает изменение реактивной мощности нагрузки в компенсируемой сети и, в соответствии с заданным значением cos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исключается появление в сети перенапряжения, потому что отсутствует перекомпенсация,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lastRenderedPageBreak/>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r w:rsidRPr="000D0651">
        <w:rPr>
          <w:b/>
          <w:bCs/>
          <w:color w:val="FF0000"/>
        </w:rPr>
        <w:t>cos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кВАр.</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кВ•А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трехобмоточные;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Сухие (без масла) трансформаторы выпускаются мощностью до 1600 кВ А и напряжением до 15, 75 кВ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Обмотки первичного и вторичного напряжения трехфазных двухобмоточных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масляно-водяное охлаждение масла с естественной циркуляцией; Ц — масляно-водяное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Третья буква указывает число обмоток (Т — трехобмоточный),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lastRenderedPageBreak/>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Схемы соединений обмоток двухобмоточных трансформаторов:</w:t>
      </w:r>
      <w:r w:rsidRPr="000D0651">
        <w:rPr>
          <w:color w:val="FF0000"/>
        </w:rPr>
        <w:br/>
      </w:r>
      <w:r w:rsidRPr="000D0651">
        <w:rPr>
          <w:i/>
          <w:iCs/>
          <w:color w:val="FF0000"/>
        </w:rPr>
        <w:t>а</w:t>
      </w:r>
      <w:r w:rsidRPr="000D0651">
        <w:rPr>
          <w:color w:val="FF0000"/>
        </w:rPr>
        <w:t> — звезда-звезда с выведенной нейтралью;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 звезда с выведенной нейтралью-треугольник.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и высшее напряжение трансформатора указываются в обозначениях дробью. Числитель дроби указывает номинальную мощность в кВ•А, а знаменатель — высшее напряжение обмоток (ВН) в кВ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Например, трансформатор типа ТДТН-15000/35 — трехфазный, с дутьевым охлаждением, трехобмоточный, с регулировкой напряжения под нагрузкой, мощностью 15000 кВ•А и напряжением ВН — 35 кВ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Основой конструкции силового двухобмоточного трансформатора (рис. 1</w:t>
      </w:r>
      <w:r w:rsidR="00D510C4">
        <w:rPr>
          <w:color w:val="FF0000"/>
        </w:rPr>
        <w:t>2</w:t>
      </w:r>
      <w:r w:rsidRPr="000D0651">
        <w:rPr>
          <w:color w:val="FF0000"/>
        </w:rPr>
        <w:t>) является его активная часть, состоящая из магнитопровода 6 с расположенными на нем обмотками низшего (НН) и высшего 3 (ВН) напряжений, отводов 8 и переключателя напряжения 9. Магнитопровод 6 трансформатора набирается из листов специальной электротехнической стали толщиной 0,35 или 0,5 мм. Отдельные части магнитопровода собирают в жесткую конструкцию из трех вертикальных стержней с верхним 5 и нижним 2 ярмами с помощью стяжных шпилек и прессующих ярмовых балок, образуя замкнутый контур. Между собой листы стали изолированы лаком или теплостойким покрытием на основе жидкого стекла. Ярмовыми балками из швеллеров листы стали магнитопровода плотно опрессовывают при помощи шпилек. Ярмовые балки и шпильки изолируют от активной стали магнитопровода.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кВ•А с масляным охлаждением:</w:t>
      </w:r>
      <w:r w:rsidRPr="000D0651">
        <w:rPr>
          <w:color w:val="FF0000"/>
        </w:rPr>
        <w:br/>
      </w:r>
      <w:r w:rsidRPr="000D0651">
        <w:rPr>
          <w:color w:val="FF0000"/>
        </w:rPr>
        <w:lastRenderedPageBreak/>
        <w:t>1 — бак; 2, 5 — нижняя и верхняя ярмовые балки; 3 — обмотка ВН; 4 — регулировочные отводы; 6 — магнитопровод;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маслоуказатель; 18 — газовое реле; 19 — циркуляционные трубы; 20 — маслоспускной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1 — выравнивающие кольца; 2 — коробочка из электрокартона;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кВ•А.</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электрокартона,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w:t>
      </w:r>
      <w:r w:rsidRPr="000D0651">
        <w:rPr>
          <w:color w:val="FF0000"/>
        </w:rPr>
        <w:lastRenderedPageBreak/>
        <w:t>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измерения температуры верхних слоев масла в трансформаторах мощностью до 1000 кВ•А применяют стеклянный термометр с шкалой от -20 до +100 ºС, а в трансформаторах свыше 1000 кВ•А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тех случаях, когда вторичные сети имеют изолированную от земли нейтраль,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7">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lastRenderedPageBreak/>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нейтрали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r w:rsidRPr="000D0651">
        <w:rPr>
          <w:i/>
          <w:iCs/>
          <w:color w:val="FF0000"/>
        </w:rPr>
        <w:t>I</w:t>
      </w:r>
      <w:r w:rsidRPr="000D0651">
        <w:rPr>
          <w:color w:val="FF0000"/>
          <w:vertAlign w:val="subscript"/>
        </w:rPr>
        <w:t>цирк.</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маслоуказателе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lastRenderedPageBreak/>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Автотрансформаторы широко используются для связи электрических сетей напряжением 150/121, 230/121. 350/121, 500/121 и 750/330 кВ.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кВ:</w:t>
      </w:r>
      <w:r w:rsidRPr="000D0651">
        <w:rPr>
          <w:color w:val="FF0000"/>
          <w:sz w:val="24"/>
          <w:szCs w:val="24"/>
        </w:rPr>
        <w:br/>
        <w:t>1 —  сборные шины, 2 — отсек для контрольных кабелей, 3— кабельные конструкции, 4 — приборный отсек, 5 — втычные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lastRenderedPageBreak/>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(неавтоматически)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командоаппараты,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кВ.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кинематически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дугогасительная камера поперечного дутья 13. Для контроля за уровнем масла в баке служит маслоуказательное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lastRenderedPageBreak/>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К современным воздушным выключателям относят воздухонаполненные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кВ.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Воздухонаполненный выключатель ВВБ на 220 кВ:</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Число камер с разрывными контактами на каждую фазу определяется поминальным напряжением выключателя. Выключатель на напряженно 45 кВ имеет одну камеру, па 110 и 154 кВ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дугогасительных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На рис. 23 показан трехполюсный разъединитель РВ-10 (разъединитель внутренней установки на 10 кВ),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Для наружной установки широко применяют разъединители РЛНД (разъединитель с линейным контуром тока, наружной установки, двухколонковый)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кВ с изоляторами 5 и 13, установленными в подшипниках 6. На изоляторе 13 смонтирован нож 1 с ламелями, а на изоляторе 5 — нож 2 без ламелей. Изоляторы 5 и 13 кинематически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кинематически соединены между собой тягой 10, а каждый</w:t>
      </w:r>
      <w:r w:rsidRPr="000D0651">
        <w:rPr>
          <w:color w:val="FF0000"/>
          <w:sz w:val="24"/>
          <w:szCs w:val="24"/>
        </w:rPr>
        <w:br/>
        <w:t>из них электрически связан гибкой перемычкой 11 с основанием разъединителя. Заземляющий нож 4 кинематически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воздухонаполненных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w:t>
      </w:r>
      <w:r w:rsidRPr="000D0651">
        <w:rPr>
          <w:color w:val="FF0000"/>
          <w:sz w:val="24"/>
          <w:szCs w:val="24"/>
        </w:rPr>
        <w:lastRenderedPageBreak/>
        <w:t xml:space="preserve">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кВ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На рис. 26 показан привод ПРН-110 для управления разъединителями наружной установки на 35 и 110 кВ.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кВ. Он состоит из включающего 7 и отключающего 6 электромагнитов, управляемого ими механизма, который соединяется кинематически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Эти реакторы выпускают на напряжение 6 и 10 кВ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где х</w:t>
      </w:r>
      <w:r w:rsidRPr="000D0651">
        <w:rPr>
          <w:color w:val="FF0000"/>
          <w:sz w:val="24"/>
          <w:szCs w:val="24"/>
          <w:vertAlign w:val="subscript"/>
        </w:rPr>
        <w:t>р</w:t>
      </w:r>
      <w:r w:rsidRPr="000D0651">
        <w:rPr>
          <w:color w:val="FF0000"/>
          <w:sz w:val="24"/>
          <w:szCs w:val="24"/>
        </w:rPr>
        <w:t>% —относительное сопротивление реактора, %; х</w:t>
      </w:r>
      <w:r w:rsidRPr="000D0651">
        <w:rPr>
          <w:color w:val="FF0000"/>
          <w:sz w:val="24"/>
          <w:szCs w:val="24"/>
          <w:vertAlign w:val="subscript"/>
        </w:rPr>
        <w:t>р</w:t>
      </w:r>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кВ и ток 600 А, имеет индуктивное сопротивление х</w:t>
      </w:r>
      <w:r w:rsidRPr="000D0651">
        <w:rPr>
          <w:color w:val="FF0000"/>
          <w:sz w:val="24"/>
          <w:szCs w:val="24"/>
          <w:vertAlign w:val="subscript"/>
        </w:rPr>
        <w:t>р</w:t>
      </w:r>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А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 нормальных условиях примерно одинаковые токи нагрузки протекают по полуобмоткам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полуобмотки, влиянием второй полуобмотки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w:t>
      </w:r>
      <w:r w:rsidRPr="000D0651">
        <w:rPr>
          <w:color w:val="FF0000"/>
          <w:sz w:val="24"/>
          <w:szCs w:val="24"/>
        </w:rPr>
        <w:lastRenderedPageBreak/>
        <w:t>35 кВ широко применяют предохранители ПК для внутренней установки, ПКН — для наружной установки и ПКТ — для трансформаторов напряжения. В сетях 35 кВ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2">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и ]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фибробакелитовые РТ на напряжения от 3 до 110 кВ, винипластовые РТВ на напряжения от 6 до 110 кВ и стеклоэпоксидные винипластовые (усиленные) на напряжения 35 и 110 кВ.</w:t>
      </w:r>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высокоомными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Промышленность выпускает вентильные разрядники РВС (разрядник вентильный сетевой), описанные выше, на напряжение от 3 до 220 кВ и РВП (разрядник вентильный подстанционный) упрощенной конструкции на напряжение 3—10 кВ.</w:t>
      </w:r>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 xml:space="preserve">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w:t>
      </w:r>
      <w:r w:rsidRPr="00D510C4">
        <w:rPr>
          <w:color w:val="FF0000"/>
          <w:sz w:val="24"/>
          <w:szCs w:val="24"/>
        </w:rPr>
        <w:lastRenderedPageBreak/>
        <w:t>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магнитопроводе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а — устройство, б — включение амперметра непосредственно и через трансформатор тока: I и 2 — обмотки, 3 — магнитопровод</w:t>
      </w:r>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7">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r w:rsidRPr="00D510C4">
        <w:rPr>
          <w:i/>
          <w:color w:val="FF0000"/>
          <w:sz w:val="24"/>
          <w:szCs w:val="24"/>
        </w:rPr>
        <w:t>К</w:t>
      </w:r>
      <w:r w:rsidRPr="00D510C4">
        <w:rPr>
          <w:i/>
          <w:color w:val="FF0000"/>
          <w:sz w:val="24"/>
          <w:szCs w:val="24"/>
          <w:vertAlign w:val="subscript"/>
        </w:rPr>
        <w:t>тт</w:t>
      </w:r>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Промышленность выпускает трансформаторы тока для электроустановок напряжением до 750 кВ в различном конструктивном исполнении в зависимости от места и способа </w:t>
      </w:r>
      <w:r w:rsidRPr="00D510C4">
        <w:rPr>
          <w:color w:val="FF0000"/>
          <w:sz w:val="24"/>
          <w:szCs w:val="24"/>
        </w:rPr>
        <w:lastRenderedPageBreak/>
        <w:t>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В сетях с изолированной нейтралью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междуфазовые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lastRenderedPageBreak/>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О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пятистержневым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Например, однофазный сухой трансформатор напряжения на 3 кВ обозначают HGC-3, однофазный масляный трансформатор напряжения на 35 кВ — НОМ-35, каскадный трансформатор напряжения на 220 кВ — НКФ-220, трехфазный масляный трансформатор напряжения на 10 кВ пятистержневой — НТМИ-10 и, наконец, трехфазный трехстержневой трансформатор напряжения на 6 кВ с компенсирующей обмоткой—НТМК-6. У трехфазных трехстержневых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а) имеются еще три дополнительные фазные вторичные обмотки, соединенные в разомкнутый треугольник. Выводы этих обмоток обозначают O1 и о2. У трехфазных трехстержневых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хд.</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xml:space="preserve">, в) состоят из отдельных элементов, соединенных последовательно. Каждый элемент представляет собой двухстержневой трансформатор с тремя обмотками — первичной 1 и двумя вторичными (выравнивающей 2 и связывающей 4) и магнитопроводом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хп). Выравнивающие и связывающие обмотки служат для </w:t>
      </w:r>
      <w:r w:rsidRPr="00D510C4">
        <w:rPr>
          <w:color w:val="FF0000"/>
          <w:sz w:val="24"/>
          <w:szCs w:val="24"/>
        </w:rPr>
        <w:lastRenderedPageBreak/>
        <w:t>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магнитопровод</w:t>
      </w:r>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1"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2F3CD9"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2F3CD9"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2F3CD9"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2F3CD9"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2F3CD9"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6"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В ходе прохождения учебнойпрактики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4" w:name="_Toc85707734"/>
      <w:r w:rsidRPr="00D510C4">
        <w:rPr>
          <w:b/>
          <w:color w:val="FF0000"/>
          <w:sz w:val="24"/>
          <w:szCs w:val="24"/>
        </w:rPr>
        <w:lastRenderedPageBreak/>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4"/>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нормальной и бесперебойной работы турбогенератора, температура охлаждающей жидкости, находящейся в газоохладителе,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r w:rsidRPr="00D510C4">
        <w:rPr>
          <w:bCs/>
          <w:i/>
          <w:color w:val="FF0000"/>
        </w:rPr>
        <w:t>Котлоагрегат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Котлоагрегат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котлоагрегата.</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Главной частью котлоагрегата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Элементы котлоагрегата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Котлоагрегаты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lastRenderedPageBreak/>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котлоагрегата</w:t>
      </w:r>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Конструкция котлоагрегата зависит от его назначения, вида применяемого топлива и способа сжигания, единичной паропроизводительности,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топочной камере котлоагрегата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ширмовых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Пройдя ширмовый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Дальнейшему снижению температуры уходящих из котлоагрегата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золовыми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Твердые продукты сгорания топлива, уловленные в котлоагрегате,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поверхностей нагрева в чистоте предусматривается комплекс периодически включаемых обдувочных и обмывочных аппаратов, вибраторов и дробеочистительных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lastRenderedPageBreak/>
        <w:t>По характеру движения рабочей среды котлоагрегаты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Движение рабочей среды по циркуляционному контуру в котлоагрегатах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Непрерывное упаривание котловой воды в котлоагрегатах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котлоагрегата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кпд.</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Предельно допустимая концентрация примесей определяется конструкцией и параметрами котлоагрегата,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такой организации процесса генерации пара примеси, содержащиеся в питательной воде, не могут быть выведены из котлоагрегата продувкой части котловой воды, как это имеет место в котлоагрегате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Поэтому к питательной воде прямоточных котлоагрегатов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Вода, поступающая в такие котлоагрегаты,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котлоагрегат,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температуры первичного и вторичного перегрева пара на требуемом уровне котлоагрегата снабжен регулирующими устройствами в виде смесительных и </w:t>
      </w:r>
      <w:r w:rsidRPr="00D510C4">
        <w:rPr>
          <w:color w:val="FF0000"/>
        </w:rPr>
        <w:lastRenderedPageBreak/>
        <w:t>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Текущий ремонт трансформатора мощностью 10000 – 63000 кВ·А</w:t>
      </w:r>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Каски защитные, пояс предохранительный, лестница, заземления, закоротки,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уайт-спирит, влаго-маслостойкий лак или эмаль, запасные маслоуказательные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термосигнализаторов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5.3. Проверка маслоуказательных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уплотнения и целостность маслоуказательной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Удалить грязь и протереть крышку, бак, радиаторы и расширитель трансформатора. Изоляторы протереть салфеткой, смоченной в уайт-спирите,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влаго-маслостойким лаком. Проверить исправность термопатрона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мегаомметра на напряжение 2500 В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мегаомметра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Испытанную обмотку заземлить и закоротить на время не менее 2 минут. Замер выполнить 2 – 3 раза. Аналогично выполнить измерения по схемам: для трехобмоточных трансформаторов – НН - бак, СН, ВН; СН - бак, НН, ВН; ВН - бак, СН, НН; для двухобмоточных трансформаторов – НН - бак, ВН; ВН - бак, НН; ВН+СН - бак. Для трехобмоточных трансформаторов мощностью 16000 кВ·А и более дополнительно производятся измерения по схемам: ВН+СН - бак, НН; ВН+СН+НН - бак. У трансформаторов на напряжение 220 кВ сопротивление изоляции не нормируется, но учитывается при комплексном рассмотрении измерений. У трансформаторов на напряжение 110 кВ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кВ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хроматографический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кВ – 65 кВ; 110 кВ – 60 кВ; 35 кВ – 35 кВ.</w:t>
      </w:r>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клеммной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кВ – 45 кВ, для трансформаторов на напряжение 35 кВ –35 кВ. Проверить надежность контактных присоединений на клеммных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Мегаомметром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lastRenderedPageBreak/>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во влагопоглащающих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во влагопоглащающих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темосингализаторов,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Примечание: все операции с маслонаполненными вводами на напряжение 110-220 кВ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lastRenderedPageBreak/>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r w:rsidRPr="00D510C4">
        <w:rPr>
          <w:bCs/>
          <w:color w:val="FF0000"/>
        </w:rPr>
        <w:t>Термосифониый</w:t>
      </w:r>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5"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5"/>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lastRenderedPageBreak/>
        <w:t>о</w:t>
      </w:r>
      <w:hyperlink r:id="rId92"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увеличение коэффициентов загрузки электроприемников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lastRenderedPageBreak/>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методуказания,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6" w:name="_Toc85707736"/>
      <w:r w:rsidRPr="006E012B">
        <w:rPr>
          <w:color w:val="FF0000"/>
          <w:sz w:val="24"/>
          <w:szCs w:val="24"/>
        </w:rPr>
        <w:t>Список использованной литературы</w:t>
      </w:r>
      <w:bookmarkEnd w:id="6"/>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Втюрин, В. А. Трансформаторы: учебное пособие / В. А. Втюрин. — Санкт-Петербург: СПбГЛТУ,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bookmarkStart w:id="7" w:name="_GoBack"/>
      <w:bookmarkEnd w:id="7"/>
      <w:r w:rsidRPr="00E11DCB">
        <w:rPr>
          <w:color w:val="FF0000"/>
          <w:sz w:val="24"/>
          <w:szCs w:val="24"/>
          <w:shd w:val="clear" w:color="auto" w:fill="FFFFFF"/>
        </w:rPr>
        <w:t>Синюкова, Т. В. Электроснабжение и электрооборудование электрических установок: учебное пособие / Т. В. Синюкова, А. В. Синюков, В. В. Лесникова.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АмГУ, 2014. — 182 с. — Текст: электронный // Лань: электронно-библиотечная система. — URL: </w:t>
      </w:r>
      <w:hyperlink r:id="rId93"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Электромагнитная совместимость и качество электроэнергии: учебное пособие / Малахова Т.Ф. [и др.]. — Кемерово: КузГТУ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Бохмат И. С, Воротницкий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Почаевец В.С. Электрические подстанции. Учебник для техникумов и колледжей ж.д. транспорта – М.: Желдориздат,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4"/>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EFEE64" w14:textId="77777777" w:rsidR="002F3CD9" w:rsidRDefault="002F3CD9" w:rsidP="00CE7DE4">
      <w:r>
        <w:separator/>
      </w:r>
    </w:p>
  </w:endnote>
  <w:endnote w:type="continuationSeparator" w:id="0">
    <w:p w14:paraId="45B8830B" w14:textId="77777777" w:rsidR="002F3CD9" w:rsidRDefault="002F3CD9"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06D92112" w:rsidR="009E5887" w:rsidRDefault="009E5887">
        <w:pPr>
          <w:pStyle w:val="af6"/>
          <w:jc w:val="center"/>
        </w:pPr>
        <w:r>
          <w:fldChar w:fldCharType="begin"/>
        </w:r>
        <w:r>
          <w:instrText>PAGE   \* MERGEFORMAT</w:instrText>
        </w:r>
        <w:r>
          <w:fldChar w:fldCharType="separate"/>
        </w:r>
        <w:r w:rsidR="006E6E96">
          <w:rPr>
            <w:noProof/>
          </w:rPr>
          <w:t>52</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D652DA" w14:textId="77777777" w:rsidR="002F3CD9" w:rsidRDefault="002F3CD9" w:rsidP="00CE7DE4">
      <w:r>
        <w:separator/>
      </w:r>
    </w:p>
  </w:footnote>
  <w:footnote w:type="continuationSeparator" w:id="0">
    <w:p w14:paraId="6AEA85B7" w14:textId="77777777" w:rsidR="002F3CD9" w:rsidRDefault="002F3CD9"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010"/>
    <w:rsid w:val="00033386"/>
    <w:rsid w:val="000454E4"/>
    <w:rsid w:val="0006154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3CD9"/>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D0A1E"/>
    <w:rsid w:val="006E012B"/>
    <w:rsid w:val="006E0E2A"/>
    <w:rsid w:val="006E14E9"/>
    <w:rsid w:val="006E229C"/>
    <w:rsid w:val="006E6910"/>
    <w:rsid w:val="006E6E96"/>
    <w:rsid w:val="006F7669"/>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97CFB"/>
    <w:rsid w:val="008B2B83"/>
    <w:rsid w:val="008D5182"/>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93%D0%BA%D0%B0%D0%BB" TargetMode="External"/><Relationship Id="rId47" Type="http://schemas.openxmlformats.org/officeDocument/2006/relationships/image" Target="media/image7.png"/><Relationship Id="rId50" Type="http://schemas.openxmlformats.org/officeDocument/2006/relationships/image" Target="media/image10.png"/><Relationship Id="rId55" Type="http://schemas.openxmlformats.org/officeDocument/2006/relationships/image" Target="media/image15.jpeg"/><Relationship Id="rId63" Type="http://schemas.openxmlformats.org/officeDocument/2006/relationships/image" Target="media/image23.gif"/><Relationship Id="rId68" Type="http://schemas.openxmlformats.org/officeDocument/2006/relationships/image" Target="media/image28.gif"/><Relationship Id="rId76" Type="http://schemas.openxmlformats.org/officeDocument/2006/relationships/image" Target="media/image36.gif"/><Relationship Id="rId84" Type="http://schemas.openxmlformats.org/officeDocument/2006/relationships/hyperlink" Target="https://ru.wikipedia.org/wiki/%D0%9F%D0%BE%D0%B6%D0%B0%D1%80%D0%BD%D0%B0%D1%8F_%D0%B1%D0%B5%D0%B7%D0%BE%D0%BF%D0%B0%D1%81%D0%BD%D0%BE%D1%81%D1%82%D1%8C" TargetMode="External"/><Relationship Id="rId89"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1.gif"/><Relationship Id="rId92" Type="http://schemas.openxmlformats.org/officeDocument/2006/relationships/hyperlink" Target="https://energo-audit.com/obsledovanie-osveshchenija"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5.png"/><Relationship Id="rId53" Type="http://schemas.openxmlformats.org/officeDocument/2006/relationships/image" Target="media/image13.png"/><Relationship Id="rId58" Type="http://schemas.openxmlformats.org/officeDocument/2006/relationships/image" Target="media/image18.jpeg"/><Relationship Id="rId66" Type="http://schemas.openxmlformats.org/officeDocument/2006/relationships/image" Target="media/image26.gif"/><Relationship Id="rId74" Type="http://schemas.openxmlformats.org/officeDocument/2006/relationships/image" Target="media/image34.gif"/><Relationship Id="rId79" Type="http://schemas.openxmlformats.org/officeDocument/2006/relationships/image" Target="media/image39.gif"/><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1.jpeg"/><Relationship Id="rId82" Type="http://schemas.openxmlformats.org/officeDocument/2006/relationships/hyperlink" Target="https://ru.wikipedia.org/wiki/%D0%93%D0%B8%D0%B3%D0%B8%D0%B5%D0%BD%D0%B0_%D1%82%D1%80%D1%83%D0%B4%D0%B0" TargetMode="External"/><Relationship Id="rId90" Type="http://schemas.openxmlformats.org/officeDocument/2006/relationships/image" Target="media/image44.png"/><Relationship Id="rId95" Type="http://schemas.openxmlformats.org/officeDocument/2006/relationships/fontTable" Target="fontTable.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hyperlink" Target="https://ru.wikipedia.org/wiki/%D0%A3%D0%B4%D0%B5%D0%BB%D1%8C%D0%BD%D0%B0%D1%8F_%D1%82%D0%B5%D0%BF%D0%BB%D0%BE%D1%82%D0%B0_%D1%81%D0%B3%D0%BE%D1%80%D0%B0%D0%BD%D0%B8%D1%8F" TargetMode="External"/><Relationship Id="rId48" Type="http://schemas.openxmlformats.org/officeDocument/2006/relationships/image" Target="media/image8.png"/><Relationship Id="rId56" Type="http://schemas.openxmlformats.org/officeDocument/2006/relationships/image" Target="media/image16.jpeg"/><Relationship Id="rId64" Type="http://schemas.openxmlformats.org/officeDocument/2006/relationships/image" Target="media/image24.gif"/><Relationship Id="rId69" Type="http://schemas.openxmlformats.org/officeDocument/2006/relationships/image" Target="media/image29.gif"/><Relationship Id="rId77" Type="http://schemas.openxmlformats.org/officeDocument/2006/relationships/image" Target="media/image37.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1.png"/><Relationship Id="rId72" Type="http://schemas.openxmlformats.org/officeDocument/2006/relationships/image" Target="media/image32.gif"/><Relationship Id="rId80" Type="http://schemas.openxmlformats.org/officeDocument/2006/relationships/image" Target="media/image40.gif"/><Relationship Id="rId85" Type="http://schemas.openxmlformats.org/officeDocument/2006/relationships/hyperlink" Target="https://ru.wikipedia.org/wiki/%D0%9F%D1%80%D0%BE%D0%BC%D1%8B%D1%88%D0%BB%D0%B5%D0%BD%D0%BD%D0%B0%D1%8F_%D0%B1%D0%B5%D0%B7%D0%BE%D0%BF%D0%B0%D1%81%D0%BD%D0%BE%D1%81%D1%82%D1%8C" TargetMode="External"/><Relationship Id="rId93" Type="http://schemas.openxmlformats.org/officeDocument/2006/relationships/hyperlink" Target="https://e.lanbook.com/book/156466" TargetMode="Externa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6.png"/><Relationship Id="rId59" Type="http://schemas.openxmlformats.org/officeDocument/2006/relationships/image" Target="media/image19.jpeg"/><Relationship Id="rId67" Type="http://schemas.openxmlformats.org/officeDocument/2006/relationships/image" Target="media/image27.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A%D0%B8%D0%BB%D0%BE%D0%B2%D0%B0%D1%82%D1%82-%D1%87%D0%B0%D1%81" TargetMode="External"/><Relationship Id="rId54" Type="http://schemas.openxmlformats.org/officeDocument/2006/relationships/image" Target="media/image14.jpeg"/><Relationship Id="rId62" Type="http://schemas.openxmlformats.org/officeDocument/2006/relationships/image" Target="media/image22.gif"/><Relationship Id="rId70" Type="http://schemas.openxmlformats.org/officeDocument/2006/relationships/image" Target="media/image30.gif"/><Relationship Id="rId75" Type="http://schemas.openxmlformats.org/officeDocument/2006/relationships/image" Target="media/image35.gif"/><Relationship Id="rId83" Type="http://schemas.openxmlformats.org/officeDocument/2006/relationships/hyperlink" Target="https://ru.wikipedia.org/wiki/%D0%AD%D0%BB%D0%B5%D0%BA%D1%82%D1%80%D0%BE%D0%B1%D0%B5%D0%B7%D0%BE%D0%BF%D0%B0%D1%81%D0%BD%D0%BE%D1%81%D1%82%D1%8C" TargetMode="External"/><Relationship Id="rId88" Type="http://schemas.openxmlformats.org/officeDocument/2006/relationships/image" Target="media/image42.png"/><Relationship Id="rId91" Type="http://schemas.openxmlformats.org/officeDocument/2006/relationships/image" Target="media/image45.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9.jpeg"/><Relationship Id="rId57" Type="http://schemas.openxmlformats.org/officeDocument/2006/relationships/image" Target="media/image17.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4.png"/><Relationship Id="rId52" Type="http://schemas.openxmlformats.org/officeDocument/2006/relationships/image" Target="media/image12.png"/><Relationship Id="rId60" Type="http://schemas.openxmlformats.org/officeDocument/2006/relationships/image" Target="media/image20.jpeg"/><Relationship Id="rId65" Type="http://schemas.openxmlformats.org/officeDocument/2006/relationships/image" Target="media/image25.gif"/><Relationship Id="rId73" Type="http://schemas.openxmlformats.org/officeDocument/2006/relationships/image" Target="media/image33.gif"/><Relationship Id="rId78" Type="http://schemas.openxmlformats.org/officeDocument/2006/relationships/image" Target="media/image38.gif"/><Relationship Id="rId81" Type="http://schemas.openxmlformats.org/officeDocument/2006/relationships/hyperlink" Target="https://ru.wikipedia.org/wiki/%D0%9F%D1%80%D0%BE%D0%B8%D0%B7%D0%B2%D0%BE%D0%B4%D1%81%D1%82%D0%B2%D0%B5%D0%BD%D0%BD%D0%B0%D1%8F_%D1%81%D0%B0%D0%BD%D0%B8%D1%82%D0%B0%D1%80%D0%B8%D1%8F" TargetMode="External"/><Relationship Id="rId86" Type="http://schemas.openxmlformats.org/officeDocument/2006/relationships/hyperlink" Target="https://ru.wikipedia.org/wiki/%D0%91%D0%B5%D0%B7%D0%BE%D0%BF%D0%B0%D1%81%D0%BD%D0%BE%D1%81%D1%82%D1%8C_%D0%B6%D0%B8%D0%B7%D0%BD%D0%B5%D0%B4%D0%B5%D1%8F%D1%82%D0%B5%D0%BB%D1%8C%D0%BD%D0%BE%D1%81%D1%82%D0%B8"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93FC09-D754-4463-A538-FCA068979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52</Pages>
  <Words>20520</Words>
  <Characters>116969</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 (МТИ)</cp:lastModifiedBy>
  <cp:revision>5</cp:revision>
  <cp:lastPrinted>2021-04-19T08:35:00Z</cp:lastPrinted>
  <dcterms:created xsi:type="dcterms:W3CDTF">2025-05-15T08:36:00Z</dcterms:created>
  <dcterms:modified xsi:type="dcterms:W3CDTF">2025-06-27T06:21:00Z</dcterms:modified>
</cp:coreProperties>
</file>