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AB" w:rsidRPr="00FA2DAB" w:rsidRDefault="00FA2DAB" w:rsidP="00FA2DAB">
      <w:pPr>
        <w:jc w:val="right"/>
        <w:rPr>
          <w:rFonts w:eastAsia="Calibri"/>
          <w:iCs/>
          <w:sz w:val="24"/>
          <w:szCs w:val="24"/>
        </w:rPr>
      </w:pPr>
      <w:r w:rsidRPr="00FA2DAB">
        <w:rPr>
          <w:rFonts w:eastAsia="Calibri"/>
          <w:iCs/>
          <w:sz w:val="24"/>
          <w:szCs w:val="24"/>
        </w:rPr>
        <w:t xml:space="preserve">Приложение </w:t>
      </w:r>
      <w:r w:rsidR="00193411">
        <w:rPr>
          <w:rFonts w:eastAsia="Calibri"/>
          <w:iCs/>
          <w:sz w:val="24"/>
          <w:szCs w:val="24"/>
        </w:rPr>
        <w:t>1</w:t>
      </w:r>
      <w:bookmarkStart w:id="0" w:name="_GoBack"/>
      <w:bookmarkEnd w:id="0"/>
    </w:p>
    <w:p w:rsidR="00FA2DAB" w:rsidRPr="00FA2DAB" w:rsidRDefault="00FA2DAB" w:rsidP="00FA2DAB">
      <w:pPr>
        <w:jc w:val="right"/>
        <w:rPr>
          <w:rFonts w:eastAsia="Calibri"/>
          <w:iCs/>
          <w:sz w:val="28"/>
          <w:szCs w:val="28"/>
        </w:rPr>
      </w:pPr>
    </w:p>
    <w:p w:rsidR="008B26EB" w:rsidRPr="002302C0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b/>
          <w:bCs/>
          <w:i/>
          <w:iCs/>
          <w:color w:val="000000"/>
          <w:sz w:val="24"/>
          <w:szCs w:val="24"/>
        </w:rPr>
        <w:t>Уважаемые студенты!</w:t>
      </w:r>
    </w:p>
    <w:p w:rsidR="007D148D" w:rsidRPr="003807DC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i/>
          <w:iCs/>
          <w:color w:val="000000"/>
          <w:sz w:val="24"/>
          <w:szCs w:val="24"/>
        </w:rPr>
        <w:t>Производственная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3807DC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:rsidR="007D148D" w:rsidRPr="006A6914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6A6914">
        <w:rPr>
          <w:sz w:val="24"/>
          <w:szCs w:val="24"/>
        </w:rPr>
        <w:t>В соответствии с </w:t>
      </w:r>
      <w:r w:rsidRPr="006A6914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F84471" w:rsidRPr="006A6914">
        <w:rPr>
          <w:b/>
          <w:bCs/>
          <w:i/>
          <w:iCs/>
          <w:sz w:val="24"/>
          <w:szCs w:val="24"/>
        </w:rPr>
        <w:t>5</w:t>
      </w:r>
      <w:r w:rsidRPr="006A6914">
        <w:rPr>
          <w:b/>
          <w:bCs/>
          <w:i/>
          <w:iCs/>
          <w:sz w:val="24"/>
          <w:szCs w:val="24"/>
        </w:rPr>
        <w:t xml:space="preserve"> </w:t>
      </w:r>
      <w:r w:rsidR="00A409CE" w:rsidRPr="006A6914">
        <w:rPr>
          <w:b/>
          <w:bCs/>
          <w:i/>
          <w:iCs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B96818" w:rsidRPr="006A6914">
        <w:rPr>
          <w:b/>
          <w:bCs/>
          <w:i/>
          <w:iCs/>
          <w:sz w:val="24"/>
          <w:szCs w:val="24"/>
        </w:rPr>
        <w:t xml:space="preserve"> </w:t>
      </w:r>
      <w:r w:rsidRPr="006A6914">
        <w:rPr>
          <w:sz w:val="24"/>
          <w:szCs w:val="24"/>
        </w:rPr>
        <w:t>вам необходимо:</w:t>
      </w:r>
    </w:p>
    <w:p w:rsidR="007D148D" w:rsidRPr="006A6914" w:rsidRDefault="007D148D" w:rsidP="00FA2DA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252" w:hanging="25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6A6914">
        <w:rPr>
          <w:sz w:val="24"/>
          <w:szCs w:val="24"/>
        </w:rPr>
        <w:t>авил и гигиенических нормативов.</w:t>
      </w:r>
    </w:p>
    <w:p w:rsidR="008B26EB" w:rsidRPr="006A6914" w:rsidRDefault="008B26EB" w:rsidP="00FA2DA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52" w:hanging="25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Ознакомиться с организаци</w:t>
      </w:r>
      <w:r w:rsidR="00613ACD" w:rsidRPr="006A6914">
        <w:rPr>
          <w:sz w:val="24"/>
          <w:szCs w:val="24"/>
        </w:rPr>
        <w:t xml:space="preserve">онной </w:t>
      </w:r>
      <w:r w:rsidRPr="006A6914">
        <w:rPr>
          <w:sz w:val="24"/>
          <w:szCs w:val="24"/>
        </w:rPr>
        <w:t>деятельност</w:t>
      </w:r>
      <w:r w:rsidR="00613ACD" w:rsidRPr="006A6914">
        <w:rPr>
          <w:sz w:val="24"/>
          <w:szCs w:val="24"/>
        </w:rPr>
        <w:t>ью профильной организации</w:t>
      </w:r>
      <w:r w:rsidRPr="006A6914">
        <w:rPr>
          <w:sz w:val="24"/>
          <w:szCs w:val="24"/>
        </w:rPr>
        <w:t xml:space="preserve"> – базы прохождения практики, в том числе изучить организационную структуру объекта практики и нормативно-правовые документы.</w:t>
      </w:r>
    </w:p>
    <w:p w:rsidR="008B26EB" w:rsidRPr="006A6914" w:rsidRDefault="008B26EB" w:rsidP="00FA2DA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52" w:hanging="25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Собрать информацию об объекте практики, в том числе изучить: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нормативные правовые акты при составлении технологических карт на монтаж электрооборудования;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отраслевые нормативные документы по монтажу, наладке и эксплуатации электрооборудования;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номенклатуру наиболее распространенного электрооборудования, кабельной продукции и электромонтажных изделий;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технологию работ по монтажу, наладке и эксплуатации электрооборудования и электрических сетей в соответствии с нормативными документами;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требования к оформлению протокола по завершению испытаний;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нормы приемо-сдаточных испытаний электрооборудования, в том числе электрических сетей;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методы организации монтажа, наладки, проверки и настройки электрооборудования;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требования, предъявляемые к приемке строительной части под монтаж электрооборудований и электрических сетей;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перечень документов, входящих в проектную документацию;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основные методы расчета и условия выбора электрооборудования для проектирования электрических сетей;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состояние электрических сетей организации;</w:t>
      </w:r>
    </w:p>
    <w:p w:rsidR="00D30577" w:rsidRPr="006A6914" w:rsidRDefault="00D30577" w:rsidP="00FA2DAB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490" w:hanging="196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техническую характеристику электрических сетей организации</w:t>
      </w:r>
      <w:r w:rsidRPr="006A6914">
        <w:rPr>
          <w:sz w:val="28"/>
          <w:szCs w:val="28"/>
        </w:rPr>
        <w:t>.</w:t>
      </w:r>
    </w:p>
    <w:p w:rsidR="00D30577" w:rsidRPr="006A6914" w:rsidRDefault="00D30577" w:rsidP="00FA2DA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252" w:hanging="252"/>
        <w:jc w:val="both"/>
        <w:rPr>
          <w:sz w:val="24"/>
          <w:szCs w:val="24"/>
        </w:rPr>
      </w:pPr>
      <w:bookmarkStart w:id="1" w:name="_Hlk58506611"/>
      <w:r w:rsidRPr="006A6914">
        <w:rPr>
          <w:sz w:val="24"/>
          <w:szCs w:val="24"/>
        </w:rPr>
        <w:t>Экспериментально-практическая работа</w:t>
      </w:r>
      <w:bookmarkEnd w:id="1"/>
      <w:r w:rsidRPr="006A6914">
        <w:rPr>
          <w:sz w:val="24"/>
          <w:szCs w:val="24"/>
        </w:rPr>
        <w:t>. Приобретение необходимых умений и первоначального практического опыта работы, в том числе выполнить работу:</w:t>
      </w:r>
    </w:p>
    <w:p w:rsidR="00D30577" w:rsidRPr="006A6914" w:rsidRDefault="00FA2DAB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bookmarkStart w:id="2" w:name="_Hlk58507701"/>
      <w:r>
        <w:rPr>
          <w:sz w:val="24"/>
          <w:szCs w:val="24"/>
        </w:rPr>
        <w:t>п</w:t>
      </w:r>
      <w:r w:rsidR="00D30577" w:rsidRPr="006A6914">
        <w:rPr>
          <w:sz w:val="24"/>
          <w:szCs w:val="24"/>
        </w:rPr>
        <w:t>о эксплуатации и техническому обслуживанию систем автоматизации и диспетчеризации;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по</w:t>
      </w:r>
      <w:r w:rsidR="00FA2DAB">
        <w:rPr>
          <w:sz w:val="24"/>
          <w:szCs w:val="24"/>
        </w:rPr>
        <w:t xml:space="preserve"> </w:t>
      </w:r>
      <w:r w:rsidRPr="006A6914">
        <w:rPr>
          <w:sz w:val="24"/>
          <w:szCs w:val="24"/>
        </w:rPr>
        <w:t>автоматизации оперативного управления, по текущей эксплуатации и аварийного управления;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 xml:space="preserve">по оптимизации электрооборудования; 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по</w:t>
      </w:r>
      <w:r w:rsidR="00FA2DAB">
        <w:rPr>
          <w:sz w:val="24"/>
          <w:szCs w:val="24"/>
        </w:rPr>
        <w:t xml:space="preserve"> </w:t>
      </w:r>
      <w:r w:rsidRPr="006A6914">
        <w:rPr>
          <w:sz w:val="24"/>
          <w:szCs w:val="24"/>
        </w:rPr>
        <w:t>диспетчеризацию по контролю уровней напряжений, токов, потребляемой мощности, качества электроэнергии;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вести наблюдение за положением коммутационного оборудования и правильностью выполнения переключений, отображение и архивирование параметров режима;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по коммерческому учету электроэнергии;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сбор и передачу данных в региональные диспетчерские управления;</w:t>
      </w:r>
    </w:p>
    <w:bookmarkEnd w:id="2"/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lastRenderedPageBreak/>
        <w:t>по</w:t>
      </w:r>
      <w:r w:rsidR="00FA2DAB">
        <w:rPr>
          <w:sz w:val="24"/>
          <w:szCs w:val="24"/>
        </w:rPr>
        <w:t xml:space="preserve"> </w:t>
      </w:r>
      <w:r w:rsidRPr="006A6914">
        <w:rPr>
          <w:sz w:val="24"/>
          <w:szCs w:val="24"/>
        </w:rPr>
        <w:t>эксплуатации и техническому обслуживанию систем автоматизации и диспетчеризации;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по автоматизации оперативного управления;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proofErr w:type="spellStart"/>
      <w:r w:rsidRPr="006A6914">
        <w:rPr>
          <w:sz w:val="24"/>
          <w:szCs w:val="24"/>
        </w:rPr>
        <w:t>теущей</w:t>
      </w:r>
      <w:proofErr w:type="spellEnd"/>
      <w:r w:rsidRPr="006A6914">
        <w:rPr>
          <w:sz w:val="24"/>
          <w:szCs w:val="24"/>
        </w:rPr>
        <w:t xml:space="preserve"> эксплуатации и аварийного управления;</w:t>
      </w:r>
    </w:p>
    <w:p w:rsidR="00D30577" w:rsidRPr="006A6914" w:rsidRDefault="00D30577" w:rsidP="00FA2DAB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504" w:hanging="18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по организации работ по автоматизации и диспетчеризации систем энергоснабжения.</w:t>
      </w:r>
    </w:p>
    <w:p w:rsidR="008B26EB" w:rsidRPr="006A6914" w:rsidRDefault="008B26EB" w:rsidP="00FA2DA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ind w:left="252" w:hanging="252"/>
        <w:jc w:val="both"/>
        <w:rPr>
          <w:sz w:val="24"/>
          <w:szCs w:val="24"/>
        </w:rPr>
      </w:pPr>
      <w:r w:rsidRPr="006A6914">
        <w:rPr>
          <w:sz w:val="24"/>
          <w:szCs w:val="24"/>
        </w:rPr>
        <w:t xml:space="preserve">Приобрести необходимые умения и практический опыт в проведении расчетных операций в рамках освоения вида деятельности ВД </w:t>
      </w:r>
      <w:r w:rsidR="00FA2DAB">
        <w:rPr>
          <w:sz w:val="24"/>
          <w:szCs w:val="24"/>
        </w:rPr>
        <w:t>5</w:t>
      </w:r>
      <w:r w:rsidRPr="006A6914">
        <w:rPr>
          <w:sz w:val="24"/>
          <w:szCs w:val="24"/>
        </w:rPr>
        <w:t>. </w:t>
      </w:r>
      <w:r w:rsidR="00613ACD" w:rsidRPr="006A6914">
        <w:rPr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6A6914">
        <w:rPr>
          <w:sz w:val="24"/>
          <w:szCs w:val="24"/>
        </w:rPr>
        <w:t>.</w:t>
      </w:r>
    </w:p>
    <w:p w:rsidR="008B26EB" w:rsidRPr="00FA2DAB" w:rsidRDefault="008B26EB" w:rsidP="00FA2DA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252" w:hanging="252"/>
        <w:jc w:val="both"/>
        <w:rPr>
          <w:rFonts w:ascii="Tahoma" w:hAnsi="Tahoma" w:cs="Tahoma"/>
          <w:sz w:val="24"/>
          <w:szCs w:val="24"/>
        </w:rPr>
      </w:pPr>
      <w:r w:rsidRPr="006A6914">
        <w:rPr>
          <w:sz w:val="24"/>
          <w:szCs w:val="24"/>
        </w:rPr>
        <w:t>С целью подготовки к сдаче экзамена (квалификационного) п</w:t>
      </w:r>
      <w:r w:rsidR="00FA2DAB">
        <w:rPr>
          <w:sz w:val="24"/>
          <w:szCs w:val="24"/>
        </w:rPr>
        <w:t>о профессиональному модулю ПМ.05</w:t>
      </w:r>
      <w:r w:rsidRPr="006A6914">
        <w:rPr>
          <w:sz w:val="24"/>
          <w:szCs w:val="24"/>
        </w:rPr>
        <w:t xml:space="preserve"> </w:t>
      </w:r>
      <w:r w:rsidR="00613ACD" w:rsidRPr="006A6914">
        <w:rPr>
          <w:sz w:val="24"/>
          <w:szCs w:val="24"/>
        </w:rPr>
        <w:t xml:space="preserve">Выполнение работ по одной или нескольким профессиям рабочих, должностям служащих </w:t>
      </w:r>
      <w:r w:rsidRPr="006A6914">
        <w:rPr>
          <w:sz w:val="24"/>
          <w:szCs w:val="24"/>
        </w:rPr>
        <w:t xml:space="preserve">осуществить комплексный анализ полученной информации, охарактеризовать типичные нарушения </w:t>
      </w:r>
      <w:r w:rsidR="00613ACD" w:rsidRPr="006A6914">
        <w:rPr>
          <w:sz w:val="24"/>
          <w:szCs w:val="24"/>
        </w:rPr>
        <w:t xml:space="preserve">допускаемые рабочими </w:t>
      </w:r>
      <w:r w:rsidRPr="006A6914">
        <w:rPr>
          <w:sz w:val="24"/>
          <w:szCs w:val="24"/>
        </w:rPr>
        <w:t xml:space="preserve">при </w:t>
      </w:r>
      <w:r w:rsidR="00613ACD" w:rsidRPr="006A6914">
        <w:rPr>
          <w:sz w:val="24"/>
          <w:szCs w:val="24"/>
        </w:rPr>
        <w:t>выполнении работ по одной и/или нескольким рабочим профессиям</w:t>
      </w:r>
      <w:r w:rsidRPr="006A6914">
        <w:rPr>
          <w:sz w:val="24"/>
          <w:szCs w:val="24"/>
        </w:rPr>
        <w:t>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FA2DAB" w:rsidRPr="006A6914" w:rsidRDefault="00FA2DAB" w:rsidP="00FA2DA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252" w:hanging="252"/>
        <w:jc w:val="both"/>
        <w:rPr>
          <w:rFonts w:ascii="Tahoma" w:hAnsi="Tahoma" w:cs="Tahoma"/>
          <w:sz w:val="24"/>
          <w:szCs w:val="24"/>
        </w:rPr>
      </w:pPr>
      <w:r w:rsidRPr="006A6914">
        <w:rPr>
          <w:sz w:val="24"/>
          <w:szCs w:val="24"/>
        </w:rPr>
        <w:t>Оформить комплект отчетной документации</w:t>
      </w:r>
    </w:p>
    <w:p w:rsidR="000350FC" w:rsidRPr="006A6914" w:rsidRDefault="000350FC" w:rsidP="000350FC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24"/>
          <w:szCs w:val="24"/>
        </w:rPr>
      </w:pPr>
    </w:p>
    <w:p w:rsidR="00134BC2" w:rsidRPr="006A6914" w:rsidRDefault="00134BC2" w:rsidP="00134BC2">
      <w:p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 xml:space="preserve">Таким образом, по итогам прохождения производственной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A409CE" w:rsidRPr="006A6914">
        <w:rPr>
          <w:b/>
          <w:bCs/>
          <w:sz w:val="24"/>
          <w:szCs w:val="24"/>
        </w:rPr>
        <w:t>.</w:t>
      </w:r>
      <w:proofErr w:type="spellStart"/>
      <w:r w:rsidRPr="006A6914">
        <w:rPr>
          <w:b/>
          <w:bCs/>
          <w:sz w:val="24"/>
          <w:szCs w:val="24"/>
        </w:rPr>
        <w:t>docx</w:t>
      </w:r>
      <w:proofErr w:type="spellEnd"/>
      <w:r w:rsidRPr="006A6914">
        <w:rPr>
          <w:b/>
          <w:bCs/>
          <w:sz w:val="24"/>
          <w:szCs w:val="24"/>
        </w:rPr>
        <w:t xml:space="preserve"> и </w:t>
      </w:r>
      <w:r w:rsidR="00A409CE" w:rsidRPr="006A6914">
        <w:rPr>
          <w:b/>
          <w:bCs/>
          <w:sz w:val="24"/>
          <w:szCs w:val="24"/>
        </w:rPr>
        <w:t>.</w:t>
      </w:r>
      <w:proofErr w:type="spellStart"/>
      <w:r w:rsidRPr="006A6914">
        <w:rPr>
          <w:b/>
          <w:bCs/>
          <w:sz w:val="24"/>
          <w:szCs w:val="24"/>
        </w:rPr>
        <w:t>pdf</w:t>
      </w:r>
      <w:proofErr w:type="spellEnd"/>
      <w:r w:rsidRPr="006A6914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134BC2" w:rsidRPr="006A6914" w:rsidRDefault="00134BC2" w:rsidP="00134BC2">
      <w:pPr>
        <w:shd w:val="clear" w:color="auto" w:fill="FFFFFF"/>
        <w:spacing w:after="225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1) </w:t>
      </w:r>
      <w:r w:rsidRPr="006A6914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6A6914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134BC2" w:rsidRPr="006A6914" w:rsidRDefault="00134BC2" w:rsidP="00134BC2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6A6914">
        <w:rPr>
          <w:sz w:val="24"/>
          <w:szCs w:val="24"/>
        </w:rPr>
        <w:t>2) </w:t>
      </w:r>
      <w:r w:rsidRPr="006A6914">
        <w:rPr>
          <w:b/>
          <w:bCs/>
          <w:i/>
          <w:iCs/>
          <w:sz w:val="24"/>
          <w:szCs w:val="24"/>
        </w:rPr>
        <w:t>индивидуальное задание </w:t>
      </w:r>
      <w:r w:rsidRPr="006A6914">
        <w:rPr>
          <w:sz w:val="24"/>
          <w:szCs w:val="24"/>
        </w:rPr>
        <w:t>на практику с вашей электронной подписью на последней странице;</w:t>
      </w:r>
    </w:p>
    <w:p w:rsidR="00134BC2" w:rsidRPr="006A6914" w:rsidRDefault="00134BC2" w:rsidP="00134BC2">
      <w:pPr>
        <w:shd w:val="clear" w:color="auto" w:fill="FFFFFF"/>
        <w:spacing w:after="225"/>
        <w:jc w:val="both"/>
        <w:rPr>
          <w:sz w:val="24"/>
          <w:szCs w:val="24"/>
        </w:rPr>
      </w:pPr>
      <w:r w:rsidRPr="006A6914">
        <w:rPr>
          <w:sz w:val="24"/>
          <w:szCs w:val="24"/>
        </w:rPr>
        <w:t>3) </w:t>
      </w:r>
      <w:r w:rsidRPr="006A6914">
        <w:rPr>
          <w:b/>
          <w:bCs/>
          <w:i/>
          <w:iCs/>
          <w:sz w:val="24"/>
          <w:szCs w:val="24"/>
        </w:rPr>
        <w:t>отчет о прохождении практики,</w:t>
      </w:r>
      <w:r w:rsidRPr="006A6914">
        <w:rPr>
          <w:sz w:val="24"/>
          <w:szCs w:val="24"/>
        </w:rPr>
        <w:t> содержащий базовую и информационно-вспомогательную информацию, согласно структуре, указанной в Приложении 3 к индивидуальному заданию;</w:t>
      </w:r>
    </w:p>
    <w:p w:rsidR="00134BC2" w:rsidRPr="006A6914" w:rsidRDefault="00134BC2" w:rsidP="00134BC2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6A6914">
        <w:rPr>
          <w:sz w:val="24"/>
          <w:szCs w:val="24"/>
        </w:rPr>
        <w:t xml:space="preserve">4) </w:t>
      </w:r>
      <w:r w:rsidRPr="006A6914">
        <w:rPr>
          <w:b/>
          <w:bCs/>
          <w:i/>
          <w:iCs/>
          <w:sz w:val="24"/>
          <w:szCs w:val="24"/>
        </w:rPr>
        <w:t>справка,</w:t>
      </w:r>
      <w:r w:rsidRPr="006A6914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134BC2" w:rsidRPr="006A6914" w:rsidRDefault="00134BC2" w:rsidP="00134BC2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6A6914">
        <w:rPr>
          <w:sz w:val="24"/>
          <w:szCs w:val="24"/>
        </w:rPr>
        <w:t>5) </w:t>
      </w:r>
      <w:r w:rsidRPr="006A6914">
        <w:rPr>
          <w:b/>
          <w:bCs/>
          <w:i/>
          <w:iCs/>
          <w:sz w:val="24"/>
          <w:szCs w:val="24"/>
        </w:rPr>
        <w:t>аттестационный лист </w:t>
      </w:r>
      <w:r w:rsidRPr="006A6914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6A6914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6A6914">
        <w:rPr>
          <w:b/>
          <w:bCs/>
          <w:sz w:val="24"/>
          <w:szCs w:val="24"/>
        </w:rPr>
        <w:t>ВНИМАНИЕ! Разделы I и II</w:t>
      </w:r>
      <w:r w:rsidRPr="006A6914">
        <w:rPr>
          <w:rFonts w:ascii="Tahoma" w:hAnsi="Tahoma" w:cs="Tahoma"/>
          <w:sz w:val="24"/>
          <w:szCs w:val="24"/>
        </w:rPr>
        <w:t> </w:t>
      </w:r>
      <w:r w:rsidRPr="006A6914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6A6914" w:rsidRDefault="00DA678C" w:rsidP="00DA678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6A6914" w:rsidRDefault="00DA678C" w:rsidP="00DA678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2. Индивидуальное задание ПМ.0</w:t>
      </w:r>
      <w:r w:rsidR="00FA2DAB">
        <w:rPr>
          <w:b/>
          <w:bCs/>
          <w:sz w:val="24"/>
          <w:szCs w:val="24"/>
        </w:rPr>
        <w:t>5</w:t>
      </w:r>
    </w:p>
    <w:p w:rsidR="00DA678C" w:rsidRPr="006A6914" w:rsidRDefault="00DA678C" w:rsidP="000350F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6A6914" w:rsidRDefault="00D80702" w:rsidP="00D80702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6A6914" w:rsidRDefault="00DA678C" w:rsidP="00DA678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 xml:space="preserve">Приложение </w:t>
      </w:r>
      <w:r w:rsidR="00D80702" w:rsidRPr="006A6914">
        <w:rPr>
          <w:b/>
          <w:bCs/>
          <w:sz w:val="24"/>
          <w:szCs w:val="24"/>
        </w:rPr>
        <w:t>5</w:t>
      </w:r>
      <w:r w:rsidRPr="006A6914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DA678C">
      <w:pPr>
        <w:shd w:val="clear" w:color="auto" w:fill="FFFFFF"/>
        <w:spacing w:after="225"/>
        <w:rPr>
          <w:rFonts w:ascii="Tahoma" w:hAnsi="Tahoma" w:cs="Tahoma"/>
          <w:color w:val="494948"/>
          <w:sz w:val="24"/>
          <w:szCs w:val="24"/>
        </w:rPr>
      </w:pPr>
    </w:p>
    <w:p w:rsidR="00DA678C" w:rsidRPr="002302C0" w:rsidRDefault="00DA678C" w:rsidP="00DA678C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DA678C" w:rsidRPr="0023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76639"/>
    <w:multiLevelType w:val="hybridMultilevel"/>
    <w:tmpl w:val="BEF2E5A0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E75CD"/>
    <w:multiLevelType w:val="hybridMultilevel"/>
    <w:tmpl w:val="1C44CD6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D0C16"/>
    <w:multiLevelType w:val="multilevel"/>
    <w:tmpl w:val="081C5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134BC2"/>
    <w:rsid w:val="00193411"/>
    <w:rsid w:val="003D2991"/>
    <w:rsid w:val="00535764"/>
    <w:rsid w:val="00594471"/>
    <w:rsid w:val="00613ACD"/>
    <w:rsid w:val="00625F53"/>
    <w:rsid w:val="006A6914"/>
    <w:rsid w:val="006C4AE3"/>
    <w:rsid w:val="00710772"/>
    <w:rsid w:val="007325DC"/>
    <w:rsid w:val="007D148D"/>
    <w:rsid w:val="008331A2"/>
    <w:rsid w:val="008B26EB"/>
    <w:rsid w:val="00984221"/>
    <w:rsid w:val="009B1C30"/>
    <w:rsid w:val="00A409CE"/>
    <w:rsid w:val="00AE0437"/>
    <w:rsid w:val="00AE0A22"/>
    <w:rsid w:val="00B104D8"/>
    <w:rsid w:val="00B328BA"/>
    <w:rsid w:val="00B96818"/>
    <w:rsid w:val="00BD4D91"/>
    <w:rsid w:val="00CD020C"/>
    <w:rsid w:val="00D044B3"/>
    <w:rsid w:val="00D30577"/>
    <w:rsid w:val="00D80702"/>
    <w:rsid w:val="00DA678C"/>
    <w:rsid w:val="00E33D7B"/>
    <w:rsid w:val="00E452C2"/>
    <w:rsid w:val="00E66195"/>
    <w:rsid w:val="00F84471"/>
    <w:rsid w:val="00F93436"/>
    <w:rsid w:val="00F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55BE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7</cp:revision>
  <dcterms:created xsi:type="dcterms:W3CDTF">2021-06-22T12:24:00Z</dcterms:created>
  <dcterms:modified xsi:type="dcterms:W3CDTF">2025-12-19T11:37:00Z</dcterms:modified>
</cp:coreProperties>
</file>