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3F" w:rsidRDefault="00316A3F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i/>
          <w:sz w:val="24"/>
          <w:szCs w:val="24"/>
        </w:rPr>
      </w:pPr>
      <w:bookmarkStart w:id="0" w:name="_GoBack"/>
      <w:bookmarkEnd w:id="0"/>
    </w:p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Договор №___</w:t>
      </w:r>
    </w:p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316A3F" w:rsidRDefault="00316A3F">
      <w:pPr>
        <w:shd w:val="clear" w:color="auto" w:fill="FFFFFF" w:themeFill="background1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316A3F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16A3F" w:rsidRDefault="00907926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6A3F" w:rsidRDefault="00907926">
            <w:pPr>
              <w:shd w:val="clear" w:color="auto" w:fill="FFFFFF" w:themeFill="background1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316A3F" w:rsidRDefault="00907926">
            <w:pPr>
              <w:shd w:val="clear" w:color="auto" w:fill="FFFFFF" w:themeFill="background1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316A3F" w:rsidRDefault="00316A3F">
      <w:pPr>
        <w:shd w:val="clear" w:color="auto" w:fill="FFFFFF" w:themeFill="background1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316A3F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>
              <w:rPr>
                <w:sz w:val="24"/>
                <w:szCs w:val="24"/>
                <w:lang w:eastAsia="en-US"/>
              </w:rPr>
              <w:t xml:space="preserve">Нестеровой Ангелины </w:t>
            </w:r>
            <w:r>
              <w:rPr>
                <w:color w:val="000000"/>
                <w:sz w:val="24"/>
                <w:szCs w:val="24"/>
              </w:rPr>
              <w:t>Всеволодовны</w:t>
            </w:r>
            <w:r>
              <w:rPr>
                <w:sz w:val="24"/>
              </w:rPr>
              <w:t>, действующего на основании Устава, с од</w:t>
            </w:r>
            <w:r>
              <w:rPr>
                <w:sz w:val="24"/>
              </w:rPr>
              <w:t>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</w:t>
            </w:r>
            <w:r>
              <w:rPr>
                <w:sz w:val="24"/>
              </w:rPr>
              <w:t>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</w:t>
      </w:r>
      <w:r>
        <w:rPr>
          <w:sz w:val="24"/>
        </w:rPr>
        <w:t xml:space="preserve"> практическая подготовка).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</w:t>
      </w:r>
      <w:r>
        <w:rPr>
          <w:sz w:val="24"/>
        </w:rPr>
        <w:t>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1.3. Реализация компонентов образовательной программы, согласованных Сторонами в приложении № 1 к настоящему Договору </w:t>
      </w:r>
      <w:r>
        <w:rPr>
          <w:sz w:val="24"/>
        </w:rPr>
        <w:t>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</w:t>
      </w:r>
      <w:r>
        <w:rPr>
          <w:sz w:val="24"/>
        </w:rPr>
        <w:t>ее чем за 10 рабочих дней до начала практической подготовки.</w:t>
      </w:r>
    </w:p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</w:t>
      </w:r>
      <w:r>
        <w:rPr>
          <w:sz w:val="24"/>
        </w:rPr>
        <w:t>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обеспечивает организ</w:t>
      </w:r>
      <w:r>
        <w:rPr>
          <w:sz w:val="24"/>
        </w:rPr>
        <w:t>ацию образовательной деятельности в форме практической подготовки при реализации компонентов образовательной программы;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- оказывает </w:t>
      </w:r>
      <w:r>
        <w:rPr>
          <w:sz w:val="24"/>
        </w:rPr>
        <w:t>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</w:t>
      </w:r>
      <w:r>
        <w:rPr>
          <w:sz w:val="24"/>
        </w:rPr>
        <w:t>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2.1.4 установить виды учебной деятельности, практики и иные компоненты </w:t>
      </w:r>
      <w:r>
        <w:rPr>
          <w:sz w:val="24"/>
        </w:rPr>
        <w:lastRenderedPageBreak/>
        <w:t>образовательной программы, осваиваемые обучающимися в форме практичес</w:t>
      </w:r>
      <w:r>
        <w:rPr>
          <w:sz w:val="24"/>
        </w:rPr>
        <w:t>кой подготовки, включая место, продолжительность и период их реализации;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</w:t>
      </w:r>
      <w:r>
        <w:rPr>
          <w:sz w:val="24"/>
        </w:rPr>
        <w:t>ной деятельностью обучающихся;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bookmarkStart w:id="1" w:name="P134"/>
      <w:bookmarkEnd w:id="1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</w:t>
      </w:r>
      <w:r>
        <w:rPr>
          <w:sz w:val="24"/>
        </w:rPr>
        <w:t>ацию реализации компонентов образовательной программы в форме практической подготовки со стороны Профильной организации;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>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</w:t>
      </w:r>
      <w:r>
        <w:rPr>
          <w:sz w:val="24"/>
        </w:rPr>
        <w:t>ких нормативов;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</w:t>
      </w:r>
      <w:r>
        <w:rPr>
          <w:sz w:val="24"/>
        </w:rPr>
        <w:t>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316A3F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6A3F" w:rsidRDefault="00907926">
            <w:pPr>
              <w:shd w:val="clear" w:color="auto" w:fill="FFFFFF" w:themeFill="background1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2.2.7 провести инстру</w:t>
      </w:r>
      <w:r>
        <w:rPr>
          <w:sz w:val="24"/>
        </w:rPr>
        <w:t>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</w:t>
      </w:r>
      <w:r>
        <w:rPr>
          <w:sz w:val="24"/>
        </w:rPr>
        <w:t>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</w:t>
      </w:r>
      <w:r>
        <w:rPr>
          <w:sz w:val="24"/>
        </w:rPr>
        <w:t xml:space="preserve"> охраны труда и техники безопасности сообщить руководителю по практической подготовке от Организации.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>. Организация имеет право: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</w:t>
      </w:r>
      <w:r>
        <w:rPr>
          <w:sz w:val="24"/>
        </w:rPr>
        <w:t>и, в том числе о качестве и объеме выполненных обучающимися работ, связанных с будущей профессиональной деятельностью.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</w:t>
      </w:r>
      <w:r>
        <w:rPr>
          <w:sz w:val="24"/>
        </w:rPr>
        <w:t>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lastRenderedPageBreak/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</w:t>
      </w:r>
      <w:r>
        <w:rPr>
          <w:sz w:val="24"/>
        </w:rPr>
        <w:t>конкретного обучающегося.</w:t>
      </w:r>
    </w:p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</w:t>
      </w:r>
      <w:r>
        <w:rPr>
          <w:sz w:val="24"/>
        </w:rPr>
        <w:t>усматривает финансовых обязательств сторон.</w:t>
      </w:r>
    </w:p>
    <w:p w:rsidR="00316A3F" w:rsidRDefault="00907926">
      <w:pPr>
        <w:shd w:val="clear" w:color="auto" w:fill="FFFFFF" w:themeFill="background1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</w:t>
      </w:r>
      <w:r>
        <w:rPr>
          <w:sz w:val="24"/>
        </w:rPr>
        <w:t>ганизации.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316A3F" w:rsidRDefault="00907926">
      <w:pPr>
        <w:shd w:val="clear" w:color="auto" w:fill="FFFFFF" w:themeFill="background1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</w:t>
      </w:r>
      <w:r>
        <w:rPr>
          <w:sz w:val="24"/>
        </w:rPr>
        <w:t>дному для каждой из Сторон. Все экземпляры имеют одинаковую юридическую силу.</w:t>
      </w:r>
    </w:p>
    <w:p w:rsidR="00316A3F" w:rsidRDefault="00316A3F">
      <w:pPr>
        <w:shd w:val="clear" w:color="auto" w:fill="FFFFFF" w:themeFill="background1"/>
        <w:ind w:firstLine="540"/>
        <w:jc w:val="both"/>
        <w:rPr>
          <w:sz w:val="24"/>
        </w:rPr>
      </w:pPr>
    </w:p>
    <w:p w:rsidR="00316A3F" w:rsidRDefault="00907926">
      <w:pPr>
        <w:shd w:val="clear" w:color="auto" w:fill="FFFFFF" w:themeFill="background1"/>
        <w:jc w:val="center"/>
        <w:rPr>
          <w:sz w:val="22"/>
        </w:rPr>
      </w:pPr>
      <w:bookmarkStart w:id="2" w:name="_Toc64728050"/>
      <w:r>
        <w:rPr>
          <w:sz w:val="22"/>
        </w:rPr>
        <w:t>5. Адреса, реквизиты и подписи Сторон</w:t>
      </w:r>
      <w:bookmarkEnd w:id="2"/>
    </w:p>
    <w:p w:rsidR="00316A3F" w:rsidRDefault="00316A3F">
      <w:pPr>
        <w:shd w:val="clear" w:color="auto" w:fill="FFFFFF" w:themeFill="background1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707"/>
      </w:tblGrid>
      <w:tr w:rsidR="00316A3F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widowControl/>
              <w:shd w:val="clear" w:color="auto" w:fill="FFFFFF" w:themeFill="background1"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316A3F" w:rsidRDefault="00907926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316A3F" w:rsidRDefault="00907926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316A3F" w:rsidRDefault="00907926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316A3F" w:rsidRDefault="00907926">
            <w:pPr>
              <w:widowControl/>
              <w:shd w:val="clear" w:color="auto" w:fill="FFFFFF" w:themeFill="background1"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Р/сч 40703810338040005652 </w:t>
            </w:r>
          </w:p>
          <w:p w:rsidR="00316A3F" w:rsidRDefault="00907926">
            <w:pPr>
              <w:widowControl/>
              <w:shd w:val="clear" w:color="auto" w:fill="FFFFFF" w:themeFill="background1"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316A3F" w:rsidRDefault="00907926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К/сч 30101810400000000225</w:t>
            </w:r>
          </w:p>
          <w:p w:rsidR="00316A3F" w:rsidRDefault="00907926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316A3F" w:rsidRDefault="00907926">
            <w:pPr>
              <w:widowControl/>
              <w:shd w:val="clear" w:color="auto" w:fill="FFFFFF" w:themeFill="background1"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316A3F" w:rsidRDefault="00907926">
            <w:pPr>
              <w:widowControl/>
              <w:shd w:val="clear" w:color="auto" w:fill="FFFFFF" w:themeFill="background1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316A3F" w:rsidRDefault="00316A3F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316A3F" w:rsidRDefault="00907926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316A3F" w:rsidRDefault="00316A3F">
            <w:pPr>
              <w:widowControl/>
              <w:shd w:val="clear" w:color="auto" w:fill="FFFFFF" w:themeFill="background1"/>
              <w:jc w:val="both"/>
              <w:rPr>
                <w:lang w:eastAsia="en-US"/>
              </w:rPr>
            </w:pPr>
          </w:p>
          <w:p w:rsidR="00316A3F" w:rsidRDefault="00907926">
            <w:pPr>
              <w:widowControl/>
              <w:shd w:val="clear" w:color="auto" w:fill="FFFFFF" w:themeFill="background1"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 xml:space="preserve">__________  / </w:t>
            </w:r>
            <w:r>
              <w:rPr>
                <w:u w:val="single"/>
                <w:lang w:eastAsia="en-US"/>
              </w:rPr>
              <w:t xml:space="preserve">А.В. Нестерова </w:t>
            </w:r>
          </w:p>
          <w:p w:rsidR="00316A3F" w:rsidRDefault="00316A3F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316A3F" w:rsidRDefault="00316A3F">
      <w:pPr>
        <w:shd w:val="clear" w:color="auto" w:fill="FFFFFF" w:themeFill="background1"/>
        <w:jc w:val="right"/>
        <w:rPr>
          <w:sz w:val="22"/>
          <w:szCs w:val="22"/>
        </w:rPr>
      </w:pPr>
    </w:p>
    <w:p w:rsidR="00316A3F" w:rsidRDefault="00907926">
      <w:pPr>
        <w:widowControl/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316A3F" w:rsidRDefault="00907926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16A3F" w:rsidRDefault="00907926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316A3F" w:rsidRDefault="00316A3F">
      <w:pPr>
        <w:shd w:val="clear" w:color="auto" w:fill="FFFFFF" w:themeFill="background1"/>
        <w:jc w:val="right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Экономика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;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</w:t>
      </w:r>
      <w:r>
        <w:rPr>
          <w:sz w:val="24"/>
          <w:szCs w:val="24"/>
        </w:rPr>
        <w:t>дготовку: ___ человек;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316A3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  А.В. Нестерова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both"/>
        <w:rPr>
          <w:sz w:val="22"/>
          <w:szCs w:val="22"/>
        </w:rPr>
      </w:pPr>
    </w:p>
    <w:p w:rsidR="00316A3F" w:rsidRDefault="00907926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316A3F" w:rsidRDefault="00907926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316A3F" w:rsidRDefault="00316A3F">
      <w:pPr>
        <w:shd w:val="clear" w:color="auto" w:fill="FFFFFF" w:themeFill="background1"/>
        <w:jc w:val="right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316A3F" w:rsidRDefault="00907926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316A3F" w:rsidRDefault="00316A3F">
      <w:pPr>
        <w:shd w:val="clear" w:color="auto" w:fill="FFFFFF" w:themeFill="background1"/>
        <w:jc w:val="center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316A3F" w:rsidRDefault="00316A3F">
      <w:pPr>
        <w:shd w:val="clear" w:color="auto" w:fill="FFFFFF" w:themeFill="background1"/>
        <w:rPr>
          <w:sz w:val="24"/>
          <w:szCs w:val="24"/>
        </w:rPr>
      </w:pPr>
    </w:p>
    <w:p w:rsidR="00316A3F" w:rsidRDefault="00316A3F">
      <w:pPr>
        <w:shd w:val="clear" w:color="auto" w:fill="FFFFFF" w:themeFill="background1"/>
        <w:rPr>
          <w:sz w:val="24"/>
          <w:szCs w:val="24"/>
        </w:rPr>
      </w:pPr>
    </w:p>
    <w:p w:rsidR="00316A3F" w:rsidRDefault="00316A3F">
      <w:pPr>
        <w:shd w:val="clear" w:color="auto" w:fill="FFFFFF" w:themeFill="background1"/>
        <w:rPr>
          <w:sz w:val="24"/>
          <w:szCs w:val="24"/>
        </w:rPr>
      </w:pPr>
    </w:p>
    <w:p w:rsidR="00316A3F" w:rsidRDefault="00907926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316A3F" w:rsidRDefault="00316A3F">
      <w:pPr>
        <w:shd w:val="clear" w:color="auto" w:fill="FFFFFF" w:themeFill="background1"/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86"/>
      </w:tblGrid>
      <w:tr w:rsidR="00316A3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</w:p>
          <w:p w:rsidR="00316A3F" w:rsidRDefault="00907926">
            <w:pPr>
              <w:shd w:val="clear" w:color="auto" w:fill="FFFFFF" w:themeFill="background1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  А.В. Нестерова</w:t>
            </w:r>
          </w:p>
          <w:p w:rsidR="00316A3F" w:rsidRDefault="00316A3F">
            <w:pPr>
              <w:shd w:val="clear" w:color="auto" w:fill="FFFFFF" w:themeFill="background1"/>
              <w:jc w:val="both"/>
              <w:rPr>
                <w:sz w:val="24"/>
                <w:szCs w:val="22"/>
              </w:rPr>
            </w:pPr>
          </w:p>
        </w:tc>
      </w:tr>
    </w:tbl>
    <w:p w:rsidR="00316A3F" w:rsidRDefault="00316A3F">
      <w:pPr>
        <w:shd w:val="clear" w:color="auto" w:fill="FFFFFF" w:themeFill="background1"/>
        <w:rPr>
          <w:sz w:val="22"/>
          <w:szCs w:val="22"/>
        </w:rPr>
      </w:pPr>
    </w:p>
    <w:p w:rsidR="00316A3F" w:rsidRDefault="00316A3F">
      <w:pPr>
        <w:shd w:val="clear" w:color="auto" w:fill="FFFFFF" w:themeFill="background1"/>
        <w:jc w:val="right"/>
        <w:rPr>
          <w:sz w:val="22"/>
          <w:szCs w:val="22"/>
        </w:rPr>
      </w:pPr>
    </w:p>
    <w:p w:rsidR="00316A3F" w:rsidRDefault="00316A3F">
      <w:pPr>
        <w:widowControl/>
        <w:shd w:val="clear" w:color="auto" w:fill="FFFFFF" w:themeFill="background1"/>
        <w:tabs>
          <w:tab w:val="left" w:pos="567"/>
        </w:tabs>
        <w:ind w:firstLine="567"/>
        <w:jc w:val="right"/>
        <w:outlineLvl w:val="0"/>
        <w:rPr>
          <w:b/>
          <w:sz w:val="24"/>
          <w:szCs w:val="24"/>
        </w:rPr>
      </w:pPr>
    </w:p>
    <w:p w:rsidR="00316A3F" w:rsidRDefault="00316A3F"/>
    <w:sectPr w:rsidR="00316A3F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26" w:rsidRDefault="00907926">
      <w:r>
        <w:separator/>
      </w:r>
    </w:p>
  </w:endnote>
  <w:endnote w:type="continuationSeparator" w:id="0">
    <w:p w:rsidR="00907926" w:rsidRDefault="0090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316A3F" w:rsidRDefault="00907926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E1">
          <w:rPr>
            <w:noProof/>
          </w:rPr>
          <w:t>2</w:t>
        </w:r>
        <w:r>
          <w:fldChar w:fldCharType="end"/>
        </w:r>
      </w:p>
    </w:sdtContent>
  </w:sdt>
  <w:p w:rsidR="00316A3F" w:rsidRDefault="00316A3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26" w:rsidRDefault="00907926">
      <w:r>
        <w:separator/>
      </w:r>
    </w:p>
  </w:footnote>
  <w:footnote w:type="continuationSeparator" w:id="0">
    <w:p w:rsidR="00907926" w:rsidRDefault="00907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79A"/>
    <w:multiLevelType w:val="hybridMultilevel"/>
    <w:tmpl w:val="CBDE8E40"/>
    <w:lvl w:ilvl="0" w:tplc="98265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16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E8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4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61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89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E1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01B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E9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0F50"/>
    <w:multiLevelType w:val="hybridMultilevel"/>
    <w:tmpl w:val="6A0EF8D6"/>
    <w:lvl w:ilvl="0" w:tplc="BCC08D98">
      <w:start w:val="1"/>
      <w:numFmt w:val="decimal"/>
      <w:pStyle w:val="3"/>
      <w:lvlText w:val="%1."/>
      <w:lvlJc w:val="left"/>
      <w:pPr>
        <w:ind w:left="720" w:hanging="360"/>
      </w:pPr>
    </w:lvl>
    <w:lvl w:ilvl="1" w:tplc="6BA88B3A">
      <w:start w:val="1"/>
      <w:numFmt w:val="lowerLetter"/>
      <w:lvlText w:val="%2."/>
      <w:lvlJc w:val="left"/>
      <w:pPr>
        <w:ind w:left="1440" w:hanging="360"/>
      </w:pPr>
    </w:lvl>
    <w:lvl w:ilvl="2" w:tplc="9DAC61CE">
      <w:start w:val="1"/>
      <w:numFmt w:val="lowerRoman"/>
      <w:lvlText w:val="%3."/>
      <w:lvlJc w:val="right"/>
      <w:pPr>
        <w:ind w:left="2160" w:hanging="180"/>
      </w:pPr>
    </w:lvl>
    <w:lvl w:ilvl="3" w:tplc="9A3ED93A">
      <w:start w:val="1"/>
      <w:numFmt w:val="decimal"/>
      <w:lvlText w:val="%4."/>
      <w:lvlJc w:val="left"/>
      <w:pPr>
        <w:ind w:left="2880" w:hanging="360"/>
      </w:pPr>
    </w:lvl>
    <w:lvl w:ilvl="4" w:tplc="49908404">
      <w:start w:val="1"/>
      <w:numFmt w:val="lowerLetter"/>
      <w:lvlText w:val="%5."/>
      <w:lvlJc w:val="left"/>
      <w:pPr>
        <w:ind w:left="3600" w:hanging="360"/>
      </w:pPr>
    </w:lvl>
    <w:lvl w:ilvl="5" w:tplc="FC6A2794">
      <w:start w:val="1"/>
      <w:numFmt w:val="lowerRoman"/>
      <w:lvlText w:val="%6."/>
      <w:lvlJc w:val="right"/>
      <w:pPr>
        <w:ind w:left="4320" w:hanging="180"/>
      </w:pPr>
    </w:lvl>
    <w:lvl w:ilvl="6" w:tplc="DB668586">
      <w:start w:val="1"/>
      <w:numFmt w:val="decimal"/>
      <w:lvlText w:val="%7."/>
      <w:lvlJc w:val="left"/>
      <w:pPr>
        <w:ind w:left="5040" w:hanging="360"/>
      </w:pPr>
    </w:lvl>
    <w:lvl w:ilvl="7" w:tplc="DB42FBBA">
      <w:start w:val="1"/>
      <w:numFmt w:val="lowerLetter"/>
      <w:lvlText w:val="%8."/>
      <w:lvlJc w:val="left"/>
      <w:pPr>
        <w:ind w:left="5760" w:hanging="360"/>
      </w:pPr>
    </w:lvl>
    <w:lvl w:ilvl="8" w:tplc="BAF0FA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6954"/>
    <w:multiLevelType w:val="hybridMultilevel"/>
    <w:tmpl w:val="F1284250"/>
    <w:lvl w:ilvl="0" w:tplc="81B2ED3A">
      <w:start w:val="1"/>
      <w:numFmt w:val="decimal"/>
      <w:lvlText w:val="%1."/>
      <w:lvlJc w:val="left"/>
      <w:pPr>
        <w:ind w:left="429" w:hanging="360"/>
      </w:pPr>
    </w:lvl>
    <w:lvl w:ilvl="1" w:tplc="78ACF16E">
      <w:start w:val="1"/>
      <w:numFmt w:val="lowerLetter"/>
      <w:lvlText w:val="%2."/>
      <w:lvlJc w:val="left"/>
      <w:pPr>
        <w:ind w:left="1149" w:hanging="360"/>
      </w:pPr>
    </w:lvl>
    <w:lvl w:ilvl="2" w:tplc="C70EFFDA">
      <w:start w:val="1"/>
      <w:numFmt w:val="lowerRoman"/>
      <w:lvlText w:val="%3."/>
      <w:lvlJc w:val="right"/>
      <w:pPr>
        <w:ind w:left="1869" w:hanging="180"/>
      </w:pPr>
    </w:lvl>
    <w:lvl w:ilvl="3" w:tplc="D4EAB836">
      <w:start w:val="1"/>
      <w:numFmt w:val="decimal"/>
      <w:lvlText w:val="%4."/>
      <w:lvlJc w:val="left"/>
      <w:pPr>
        <w:ind w:left="2589" w:hanging="360"/>
      </w:pPr>
    </w:lvl>
    <w:lvl w:ilvl="4" w:tplc="84B82C44">
      <w:start w:val="1"/>
      <w:numFmt w:val="lowerLetter"/>
      <w:lvlText w:val="%5."/>
      <w:lvlJc w:val="left"/>
      <w:pPr>
        <w:ind w:left="3309" w:hanging="360"/>
      </w:pPr>
    </w:lvl>
    <w:lvl w:ilvl="5" w:tplc="B98828EA">
      <w:start w:val="1"/>
      <w:numFmt w:val="lowerRoman"/>
      <w:lvlText w:val="%6."/>
      <w:lvlJc w:val="right"/>
      <w:pPr>
        <w:ind w:left="4029" w:hanging="180"/>
      </w:pPr>
    </w:lvl>
    <w:lvl w:ilvl="6" w:tplc="26306222">
      <w:start w:val="1"/>
      <w:numFmt w:val="decimal"/>
      <w:lvlText w:val="%7."/>
      <w:lvlJc w:val="left"/>
      <w:pPr>
        <w:ind w:left="4749" w:hanging="360"/>
      </w:pPr>
    </w:lvl>
    <w:lvl w:ilvl="7" w:tplc="4B7A15F2">
      <w:start w:val="1"/>
      <w:numFmt w:val="lowerLetter"/>
      <w:lvlText w:val="%8."/>
      <w:lvlJc w:val="left"/>
      <w:pPr>
        <w:ind w:left="5469" w:hanging="360"/>
      </w:pPr>
    </w:lvl>
    <w:lvl w:ilvl="8" w:tplc="682CEC52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8BC0FFA"/>
    <w:multiLevelType w:val="hybridMultilevel"/>
    <w:tmpl w:val="44EEE882"/>
    <w:lvl w:ilvl="0" w:tplc="4C7A6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038B9F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978A5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68EF0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AAC15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16EB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F69D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636F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2FC38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64769D"/>
    <w:multiLevelType w:val="hybridMultilevel"/>
    <w:tmpl w:val="7966A2AE"/>
    <w:lvl w:ilvl="0" w:tplc="7D36198E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DE5AACB8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8506BC4A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6B87E4A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88099B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B79A132C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19E7EDE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A90E15A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EAC0F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F7B701C"/>
    <w:multiLevelType w:val="hybridMultilevel"/>
    <w:tmpl w:val="64408A60"/>
    <w:lvl w:ilvl="0" w:tplc="2BCCB5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FFC0AD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EE69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2E3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80850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06AC6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52A0A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BBC1D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7A28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B734EA"/>
    <w:multiLevelType w:val="hybridMultilevel"/>
    <w:tmpl w:val="7D9424C0"/>
    <w:lvl w:ilvl="0" w:tplc="571C3FC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A45039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10F3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68EE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DAEDD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E5298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36856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D1474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F02A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A727C5"/>
    <w:multiLevelType w:val="hybridMultilevel"/>
    <w:tmpl w:val="DD4406C2"/>
    <w:lvl w:ilvl="0" w:tplc="99D888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D03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3CA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2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AA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0B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A7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63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C0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B38E4"/>
    <w:multiLevelType w:val="hybridMultilevel"/>
    <w:tmpl w:val="A67438CE"/>
    <w:lvl w:ilvl="0" w:tplc="A3988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AE6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65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2C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C2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8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03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0D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89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F781C"/>
    <w:multiLevelType w:val="hybridMultilevel"/>
    <w:tmpl w:val="2640EAFE"/>
    <w:lvl w:ilvl="0" w:tplc="D09A60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79AF9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3E7E6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1E2F4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74E48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6248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808A5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764F9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266AD6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4D3246"/>
    <w:multiLevelType w:val="hybridMultilevel"/>
    <w:tmpl w:val="BF665788"/>
    <w:lvl w:ilvl="0" w:tplc="8AEAB76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B20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84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29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0B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01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88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68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83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F6951"/>
    <w:multiLevelType w:val="hybridMultilevel"/>
    <w:tmpl w:val="373A3672"/>
    <w:lvl w:ilvl="0" w:tplc="44AE2D4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DA640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ACB9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C96DD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C96BD8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C4CC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B47F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EF619A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2ADF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D3213"/>
    <w:multiLevelType w:val="hybridMultilevel"/>
    <w:tmpl w:val="8F12107A"/>
    <w:lvl w:ilvl="0" w:tplc="7AD843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34E5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02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A3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EB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D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E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83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796F"/>
    <w:multiLevelType w:val="hybridMultilevel"/>
    <w:tmpl w:val="C2C481FC"/>
    <w:lvl w:ilvl="0" w:tplc="38E047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7C83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25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3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E1F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A2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5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46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84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B6CDA"/>
    <w:multiLevelType w:val="hybridMultilevel"/>
    <w:tmpl w:val="5BF2C99A"/>
    <w:lvl w:ilvl="0" w:tplc="A4DC18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E40E0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140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AF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6CC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4D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E5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279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A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3206"/>
    <w:multiLevelType w:val="hybridMultilevel"/>
    <w:tmpl w:val="8728A496"/>
    <w:lvl w:ilvl="0" w:tplc="84E236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614AF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AD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E9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8FD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08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2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22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40D1A"/>
    <w:multiLevelType w:val="hybridMultilevel"/>
    <w:tmpl w:val="7D3A86BE"/>
    <w:lvl w:ilvl="0" w:tplc="89B8F9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CBA8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EE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E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F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C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B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68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0A4A"/>
    <w:multiLevelType w:val="hybridMultilevel"/>
    <w:tmpl w:val="EEF855B2"/>
    <w:lvl w:ilvl="0" w:tplc="171A895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F16075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F3819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4E2D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A89D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EF0EB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AA7F2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0A8C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A49D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2"/>
  </w:num>
  <w:num w:numId="5">
    <w:abstractNumId w:val="7"/>
  </w:num>
  <w:num w:numId="6">
    <w:abstractNumId w:val="15"/>
  </w:num>
  <w:num w:numId="7">
    <w:abstractNumId w:val="13"/>
  </w:num>
  <w:num w:numId="8">
    <w:abstractNumId w:val="16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6"/>
  </w:num>
  <w:num w:numId="16">
    <w:abstractNumId w:val="4"/>
  </w:num>
  <w:num w:numId="17">
    <w:abstractNumId w:val="1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3F"/>
    <w:rsid w:val="00316A3F"/>
    <w:rsid w:val="008216E1"/>
    <w:rsid w:val="0090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4E92D-65C0-48B6-9E8C-23797544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3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2</cp:revision>
  <dcterms:created xsi:type="dcterms:W3CDTF">2024-02-08T12:52:00Z</dcterms:created>
  <dcterms:modified xsi:type="dcterms:W3CDTF">2024-02-08T12:52:00Z</dcterms:modified>
</cp:coreProperties>
</file>