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9E" w:rsidRPr="0087789E" w:rsidRDefault="0087789E" w:rsidP="008778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7789E" w:rsidRPr="0087789E" w:rsidRDefault="0087789E" w:rsidP="008778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высшего образования</w:t>
      </w:r>
    </w:p>
    <w:p w:rsidR="0087789E" w:rsidRPr="0087789E" w:rsidRDefault="0087789E" w:rsidP="0087789E">
      <w:pPr>
        <w:spacing w:after="0" w:line="240" w:lineRule="auto"/>
        <w:ind w:left="-142"/>
        <w:rPr>
          <w:rFonts w:ascii="Times New Roman" w:hAnsi="Times New Roman" w:cs="Times New Roman"/>
          <w:b/>
          <w:spacing w:val="40"/>
          <w:sz w:val="31"/>
          <w:szCs w:val="31"/>
        </w:rPr>
      </w:pPr>
      <w:r w:rsidRPr="0087789E">
        <w:rPr>
          <w:rFonts w:ascii="Times New Roman" w:hAnsi="Times New Roman" w:cs="Times New Roman"/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87789E" w:rsidRPr="00662F5C" w:rsidTr="00A76669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89E" w:rsidRPr="00662F5C" w:rsidRDefault="0087789E" w:rsidP="00A76669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:rsidR="0087789E" w:rsidRPr="00662F5C" w:rsidRDefault="0087789E" w:rsidP="00A7666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B945555" wp14:editId="749A7A6A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89E" w:rsidRPr="00662F5C" w:rsidRDefault="0087789E" w:rsidP="00A7666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7789E" w:rsidRPr="0087789E" w:rsidRDefault="0087789E" w:rsidP="0087789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Ректор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7789E">
        <w:rPr>
          <w:rFonts w:ascii="Times New Roman" w:hAnsi="Times New Roman" w:cs="Times New Roman"/>
          <w:noProof/>
          <w:sz w:val="28"/>
          <w:szCs w:val="28"/>
        </w:rPr>
        <w:t>_____________/Ю.В. Вепринцева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Приказ «28-02-01» от 28 февраля 2025 г.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«ОДОБРЕНО»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Ученым советом ОАНО ВО «МосТех»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Протокол №06 от 28.02.2025</w:t>
      </w:r>
    </w:p>
    <w:p w:rsidR="003420CD" w:rsidRDefault="003420CD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789E" w:rsidRDefault="0087789E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P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3420CD" w:rsidRPr="003420CD" w:rsidRDefault="003420CD" w:rsidP="00342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прохождению учебной практики</w:t>
      </w: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3420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ПМ.01 Разработка технического задания на продукт графического дизайна –</w:t>
      </w:r>
      <w:r w:rsidR="00D916D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42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</w:t>
      </w:r>
      <w:r w:rsidRPr="0034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54.01.20 Графический дизайнер</w:t>
      </w:r>
    </w:p>
    <w:p w:rsidR="003420CD" w:rsidRDefault="003420CD" w:rsidP="003420CD"/>
    <w:p w:rsidR="003420CD" w:rsidRDefault="003420CD" w:rsidP="003420CD"/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и родителей (законных представителей 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несовершеннолетних обучающихся)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Pr="0087789E" w:rsidRDefault="003420CD" w:rsidP="003420CD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 w:rsidRPr="0087789E">
        <w:rPr>
          <w:rStyle w:val="FontStyle15"/>
          <w:b w:val="0"/>
          <w:sz w:val="24"/>
          <w:szCs w:val="28"/>
        </w:rPr>
        <w:t>Москва 2025 г.</w:t>
      </w:r>
    </w:p>
    <w:p w:rsidR="00805059" w:rsidRDefault="00805059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805059" w:rsidRPr="00805059" w:rsidRDefault="00805059" w:rsidP="00805059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3E4C3E" w:rsidRPr="003E4C3E" w:rsidRDefault="00805059" w:rsidP="003E4C3E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825652" w:history="1"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1.</w:t>
            </w:r>
            <w:r w:rsidR="003E4C3E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Общие положения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_Toc215825652 \h </w:instrTex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E4C3E" w:rsidRPr="003E4C3E" w:rsidRDefault="00321B7B" w:rsidP="003E4C3E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3" w:history="1">
            <w:r w:rsidR="003E4C3E" w:rsidRPr="003E4C3E">
              <w:rPr>
                <w:rStyle w:val="a5"/>
                <w:rFonts w:ascii="Times New Roman" w:hAnsi="Times New Roman" w:cs="Times New Roman"/>
                <w:b/>
                <w:noProof/>
              </w:rPr>
              <w:t>2.</w:t>
            </w:r>
            <w:r w:rsidR="003E4C3E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E4C3E" w:rsidRPr="003E4C3E">
              <w:rPr>
                <w:rStyle w:val="a5"/>
                <w:rFonts w:ascii="Times New Roman" w:hAnsi="Times New Roman" w:cs="Times New Roman"/>
                <w:b/>
                <w:noProof/>
              </w:rPr>
              <w:t>Место и время проведения практики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_Toc215825653 \h </w:instrTex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E4C3E" w:rsidRPr="003E4C3E" w:rsidRDefault="00321B7B" w:rsidP="003E4C3E">
          <w:pPr>
            <w:pStyle w:val="21"/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4" w:history="1"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3.</w:t>
            </w:r>
            <w:r w:rsidR="003E4C3E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Структура отчета о прохождении учебной практики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_Toc215825654 \h </w:instrTex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E4C3E" w:rsidRPr="003E4C3E" w:rsidRDefault="00321B7B" w:rsidP="003E4C3E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5825655" w:history="1"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4.</w:t>
            </w:r>
            <w:r w:rsidR="003E4C3E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Оформление отчета о прохождении учебной практики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_Toc215825655 \h </w:instrTex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E4C3E" w:rsidRDefault="00321B7B" w:rsidP="003E4C3E">
          <w:pPr>
            <w:pStyle w:val="11"/>
            <w:tabs>
              <w:tab w:val="left" w:pos="440"/>
              <w:tab w:val="right" w:leader="dot" w:pos="9345"/>
            </w:tabs>
            <w:spacing w:line="24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215825656" w:history="1"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5.</w:t>
            </w:r>
            <w:r w:rsidR="003E4C3E" w:rsidRPr="003E4C3E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E4C3E" w:rsidRPr="003E4C3E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Информационные ресурсы, используемые при проведении практики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instrText xml:space="preserve"> PAGEREF _Toc215825656 \h </w:instrTex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3E4C3E" w:rsidRPr="003E4C3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05059" w:rsidRPr="00805059" w:rsidRDefault="00805059" w:rsidP="003E4C3E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05059" w:rsidRPr="003420CD" w:rsidRDefault="00805059" w:rsidP="003420CD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3420CD" w:rsidRDefault="003420CD">
      <w:r>
        <w:br w:type="page"/>
      </w:r>
    </w:p>
    <w:p w:rsidR="00805059" w:rsidRPr="0046672F" w:rsidRDefault="00805059" w:rsidP="007361C7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0" w:name="_Toc191376018"/>
      <w:bookmarkStart w:id="1" w:name="_Toc215825652"/>
      <w:r w:rsidRPr="0046672F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Общие положения</w:t>
      </w:r>
      <w:bookmarkEnd w:id="0"/>
      <w:bookmarkEnd w:id="1"/>
    </w:p>
    <w:p w:rsidR="00805059" w:rsidRPr="00805059" w:rsidRDefault="00DF2B8E" w:rsidP="0080505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освоение обучающимися вида профессиональной деятельности </w:t>
      </w:r>
      <w:r w:rsid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технического задания на продукт графического дизайна</w:t>
      </w:r>
      <w:r w:rsid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54.01.20 Графический дизайнер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общих и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профессионального</w:t>
      </w:r>
      <w:r w:rsidRPr="00DF2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технического задания на продукт графического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5059"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умений и опыта практической работы по </w:t>
      </w:r>
      <w:r w:rsid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5059" w:rsidRPr="00805059" w:rsidRDefault="00805059" w:rsidP="0080505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</w:t>
      </w:r>
      <w:r w:rsidR="00DF2B8E"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54.01.20 Графический дизайнер</w:t>
      </w:r>
      <w:r w:rsidR="00DF2B8E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компетенций.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5059" w:rsidRPr="00805059" w:rsidRDefault="00805059" w:rsidP="0080505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050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индивидуальным заданием по ПМ.01 Разработка технического задания на продукт графического дизайна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необходимо:</w:t>
      </w:r>
    </w:p>
    <w:p w:rsidR="00890F8D" w:rsidRDefault="004012B9" w:rsidP="00B646B2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графического </w:t>
      </w: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дизайнера (работа с компьютерной техникой, освещение, эргономика рабочего места, режим работы).</w:t>
      </w:r>
      <w:r w:rsidR="0089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2B9" w:rsidRDefault="00890F8D" w:rsidP="00890F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дизайн-проектами.</w:t>
      </w:r>
    </w:p>
    <w:p w:rsidR="00367B6E" w:rsidRPr="003E4C3E" w:rsidRDefault="00C1651B" w:rsidP="00FF23D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стадии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над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</w:t>
      </w:r>
      <w:r w:rsidR="003E4C3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н-проектом графического дизайна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применяемые методы работы над про</w:t>
      </w:r>
      <w:r w:rsidR="003E4C3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ектами графического дизайна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C3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художественные системы в графическом дизайне. </w:t>
      </w:r>
    </w:p>
    <w:p w:rsidR="00B3652C" w:rsidRPr="003E4C3E" w:rsidRDefault="00B3652C" w:rsidP="005F5DCB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принципы проектировани</w:t>
      </w:r>
      <w:r w:rsidR="003E4C3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объектов графического дизайна.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основы композиции, </w:t>
      </w:r>
      <w:proofErr w:type="spellStart"/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типографики</w:t>
      </w:r>
      <w:proofErr w:type="spellEnd"/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колористики</w:t>
      </w:r>
      <w:proofErr w:type="spellEnd"/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визуальной иерархии. Проанализировать успешные кейсы.</w:t>
      </w:r>
    </w:p>
    <w:p w:rsidR="003E4C3E" w:rsidRDefault="00B3652C" w:rsidP="003E4C3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практический опыт разработки техничес</w:t>
      </w:r>
      <w:r w:rsid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задания и дизайн-концепции.</w:t>
      </w:r>
    </w:p>
    <w:p w:rsidR="00805059" w:rsidRPr="003E4C3E" w:rsidRDefault="00637FF1" w:rsidP="003E4C3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подготовки к сдаче экзамена по профессиональному модулю, о</w:t>
      </w:r>
      <w:r w:rsidR="00D916D1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существить комплексный анализ полученной информации, 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выполненных видов работ, </w:t>
      </w:r>
      <w:r w:rsidR="00D916D1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свои предложения и рекомендации на основе сравнения с пройденным по профессиональному модулю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D1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теоретически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916D1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</w:t>
      </w:r>
      <w:r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16D1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6D1" w:rsidRPr="00D916D1" w:rsidRDefault="00D916D1" w:rsidP="00D916D1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отчет по практике. </w:t>
      </w:r>
      <w:r w:rsidR="00B6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бобщить полученную информацию, сформулировать закрепленные и приобретенные знания, навыки и умения и представить это в соответствующей форме.</w:t>
      </w:r>
    </w:p>
    <w:p w:rsidR="00D916D1" w:rsidRPr="00D916D1" w:rsidRDefault="00D916D1" w:rsidP="00D916D1">
      <w:pPr>
        <w:pStyle w:val="a8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proofErr w:type="spellStart"/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скетчбук</w:t>
      </w:r>
      <w:proofErr w:type="spellEnd"/>
      <w:r w:rsidRPr="00D91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 эскизы, наброски в процессе выполнения дизайн-проекта, фотографии работ.</w:t>
      </w:r>
    </w:p>
    <w:p w:rsidR="00D916D1" w:rsidRDefault="00D916D1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по итогам прохождения </w:t>
      </w:r>
      <w:r w:rsidR="00D916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учебной</w:t>
      </w: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а после получения положительной оценки подгрузить в Личный кабинет обучающегося в раздел «Мои документы» комплект отчетной документации по практике:</w:t>
      </w: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индивидуальное задание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практику с вашей электронной подписью на последней странице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 о прохождении практики,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содержащий базовую и информационно-вспомогательную информацию, в соответствии с индивидуальным заданием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.</w:t>
      </w:r>
      <w:proofErr w:type="spellStart"/>
      <w:proofErr w:type="gram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Приложение 1. Индивидуальное задание ПМ.01</w:t>
      </w:r>
    </w:p>
    <w:p w:rsidR="00805059" w:rsidRDefault="00805059" w:rsidP="008050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Приложение 2. Шаблон отчета для заполнения</w:t>
      </w:r>
    </w:p>
    <w:p w:rsidR="00C1651B" w:rsidRPr="0046672F" w:rsidRDefault="00C1651B" w:rsidP="00C1651B">
      <w:pPr>
        <w:pStyle w:val="1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91376019"/>
      <w:bookmarkStart w:id="3" w:name="_Toc215825653"/>
      <w:r w:rsidRPr="0046672F">
        <w:rPr>
          <w:rStyle w:val="FontStyle207"/>
          <w:b/>
          <w:color w:val="auto"/>
          <w:sz w:val="28"/>
          <w:szCs w:val="28"/>
        </w:rPr>
        <w:t>Место и время проведения практики</w:t>
      </w:r>
      <w:bookmarkEnd w:id="2"/>
      <w:bookmarkEnd w:id="3"/>
    </w:p>
    <w:p w:rsidR="00C1651B" w:rsidRPr="006D0C45" w:rsidRDefault="00C1651B" w:rsidP="00C1651B">
      <w:pPr>
        <w:pStyle w:val="Style41"/>
        <w:widowControl/>
        <w:spacing w:line="240" w:lineRule="auto"/>
        <w:ind w:left="7" w:right="-2" w:firstLine="701"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>Местом проведения практики выступает ОАНО ВО «Мос</w:t>
      </w:r>
      <w:r>
        <w:rPr>
          <w:rStyle w:val="FontStyle208"/>
          <w:rFonts w:eastAsia="Calibri"/>
          <w:b w:val="0"/>
          <w:i w:val="0"/>
          <w:sz w:val="28"/>
          <w:szCs w:val="28"/>
        </w:rPr>
        <w:t>Тех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». </w:t>
      </w:r>
      <w:r w:rsidRPr="006D0C45">
        <w:rPr>
          <w:sz w:val="28"/>
          <w:szCs w:val="28"/>
        </w:rPr>
        <w:t>Учебная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проводится согласно учебному календарному графику, </w:t>
      </w:r>
      <w:r>
        <w:rPr>
          <w:rStyle w:val="FontStyle208"/>
          <w:rFonts w:eastAsia="Calibri"/>
          <w:b w:val="0"/>
          <w:i w:val="0"/>
          <w:sz w:val="28"/>
          <w:szCs w:val="28"/>
        </w:rPr>
        <w:t xml:space="preserve">в </w:t>
      </w:r>
      <w:r w:rsidR="00B123A6">
        <w:rPr>
          <w:rStyle w:val="FontStyle208"/>
          <w:rFonts w:eastAsia="Calibri"/>
          <w:b w:val="0"/>
          <w:i w:val="0"/>
          <w:sz w:val="28"/>
          <w:szCs w:val="28"/>
        </w:rPr>
        <w:t>течение 5-ти недель в объеме 180</w:t>
      </w:r>
      <w:r>
        <w:rPr>
          <w:rStyle w:val="FontStyle208"/>
          <w:rFonts w:eastAsia="Calibri"/>
          <w:b w:val="0"/>
          <w:i w:val="0"/>
          <w:sz w:val="28"/>
          <w:szCs w:val="28"/>
        </w:rPr>
        <w:t xml:space="preserve"> часов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. </w:t>
      </w:r>
    </w:p>
    <w:p w:rsidR="00C1651B" w:rsidRPr="00C1651B" w:rsidRDefault="00C1651B" w:rsidP="00C1651B">
      <w:pPr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1651B">
        <w:rPr>
          <w:rFonts w:ascii="Times New Roman" w:hAnsi="Times New Roman" w:cs="Times New Roman"/>
          <w:sz w:val="28"/>
          <w:szCs w:val="28"/>
        </w:rPr>
        <w:t>Учебная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C1651B" w:rsidRPr="00C1651B" w:rsidRDefault="00C1651B" w:rsidP="00C1651B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91376020"/>
      <w:bookmarkStart w:id="5" w:name="_Toc215825654"/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о прохождении учебной практики</w:t>
      </w:r>
      <w:bookmarkEnd w:id="4"/>
      <w:bookmarkEnd w:id="5"/>
    </w:p>
    <w:p w:rsidR="00C1651B" w:rsidRPr="00C1651B" w:rsidRDefault="00C1651B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отчета должна быть единой для всех обучающихся, исходя из программы практики и индивидуального задания:</w:t>
      </w:r>
    </w:p>
    <w:p w:rsidR="00A4749B" w:rsidRDefault="00B123A6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должен составлять не менее 25 страниц.</w:t>
      </w:r>
    </w:p>
    <w:p w:rsidR="00C1651B" w:rsidRPr="00C1651B" w:rsidRDefault="00C1651B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20"/>
      </w:tblGrid>
      <w:tr w:rsidR="00B123A6" w:rsidRPr="003E4C3E" w:rsidTr="00B123A6">
        <w:tc>
          <w:tcPr>
            <w:tcW w:w="1838" w:type="dxa"/>
            <w:shd w:val="clear" w:color="auto" w:fill="auto"/>
          </w:tcPr>
          <w:p w:rsidR="00B123A6" w:rsidRPr="003E4C3E" w:rsidRDefault="00B123A6" w:rsidP="003E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Разделы (этапы) практики</w:t>
            </w: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3E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Виды производственных работ на практике</w:t>
            </w:r>
          </w:p>
        </w:tc>
      </w:tr>
      <w:tr w:rsidR="00B123A6" w:rsidRPr="003E4C3E" w:rsidTr="00B123A6">
        <w:tc>
          <w:tcPr>
            <w:tcW w:w="1838" w:type="dxa"/>
            <w:shd w:val="clear" w:color="auto" w:fill="auto"/>
          </w:tcPr>
          <w:p w:rsidR="00B123A6" w:rsidRPr="003E4C3E" w:rsidRDefault="00321B7B" w:rsidP="0032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Вводный инструктаж.</w:t>
            </w:r>
            <w:bookmarkStart w:id="6" w:name="_GoBack"/>
            <w:bookmarkEnd w:id="6"/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B1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 (работа с компьютерной техникой, освещение, эргономика рабочего места, режим работы). </w:t>
            </w:r>
          </w:p>
          <w:p w:rsidR="00B123A6" w:rsidRPr="003E4C3E" w:rsidRDefault="00B123A6" w:rsidP="00B1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Ознакомиться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дизайн-проектами.</w:t>
            </w:r>
          </w:p>
        </w:tc>
      </w:tr>
      <w:tr w:rsidR="00B123A6" w:rsidRPr="003E4C3E" w:rsidTr="00B123A6">
        <w:tc>
          <w:tcPr>
            <w:tcW w:w="1838" w:type="dxa"/>
            <w:vMerge w:val="restart"/>
            <w:shd w:val="clear" w:color="auto" w:fill="auto"/>
          </w:tcPr>
          <w:p w:rsidR="00B123A6" w:rsidRPr="003E4C3E" w:rsidRDefault="00B123A6" w:rsidP="00190BD9">
            <w:pPr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Осуществление сбора, систематизации и анализа данных необходимых для разработки дизайн-продукта</w:t>
            </w: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0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Описать стадии работы над дизайн-проектом графического дизайна: </w:t>
            </w:r>
            <w:r w:rsidR="00030721"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бриф → исследование → анализ → концепция → </w:t>
            </w:r>
            <w:proofErr w:type="spellStart"/>
            <w:r w:rsidR="00030721" w:rsidRPr="003E4C3E">
              <w:rPr>
                <w:rFonts w:ascii="Times New Roman" w:hAnsi="Times New Roman" w:cs="Times New Roman"/>
                <w:sz w:val="24"/>
                <w:szCs w:val="20"/>
              </w:rPr>
              <w:t>эскизирование</w:t>
            </w:r>
            <w:proofErr w:type="spellEnd"/>
            <w:r w:rsidR="00030721"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→ разработка → презентация → внедрение.</w:t>
            </w:r>
          </w:p>
        </w:tc>
      </w:tr>
      <w:tr w:rsidR="00B123A6" w:rsidRPr="003E4C3E" w:rsidTr="00B123A6">
        <w:trPr>
          <w:trHeight w:val="812"/>
        </w:trPr>
        <w:tc>
          <w:tcPr>
            <w:tcW w:w="1838" w:type="dxa"/>
            <w:vMerge/>
            <w:shd w:val="clear" w:color="auto" w:fill="auto"/>
          </w:tcPr>
          <w:p w:rsidR="00B123A6" w:rsidRPr="003E4C3E" w:rsidRDefault="00B123A6" w:rsidP="00190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Охарактеризовать применяемые методы работы над проектами графического дизайна:</w:t>
            </w:r>
          </w:p>
          <w:p w:rsidR="00B123A6" w:rsidRPr="003E4C3E" w:rsidRDefault="00B123A6" w:rsidP="00B123A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метод мозгового штурма;</w:t>
            </w:r>
          </w:p>
          <w:p w:rsidR="00B123A6" w:rsidRPr="003E4C3E" w:rsidRDefault="00B123A6" w:rsidP="00B123A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метод создания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мудбордов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и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референсов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B123A6" w:rsidRPr="003E4C3E" w:rsidRDefault="00B123A6" w:rsidP="00B123A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метод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скетчинга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и быстрого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прототипирования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B123A6" w:rsidRPr="003E4C3E" w:rsidRDefault="00B123A6" w:rsidP="00B123A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метод построения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mind-map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(ментальных карт);</w:t>
            </w:r>
          </w:p>
          <w:p w:rsidR="00B123A6" w:rsidRPr="003E4C3E" w:rsidRDefault="00B123A6" w:rsidP="00B123A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метод визуального исследования конкурентов.</w:t>
            </w:r>
          </w:p>
          <w:p w:rsidR="00030721" w:rsidRPr="003E4C3E" w:rsidRDefault="00030721" w:rsidP="000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Изучить художественные системы в графическом дизайне: минимализм, швейцарский стиль, постмодернизм, конструктивизм, брутализм.</w:t>
            </w:r>
          </w:p>
        </w:tc>
      </w:tr>
      <w:tr w:rsidR="00B123A6" w:rsidRPr="003E4C3E" w:rsidTr="00B123A6">
        <w:trPr>
          <w:trHeight w:val="261"/>
        </w:trPr>
        <w:tc>
          <w:tcPr>
            <w:tcW w:w="1838" w:type="dxa"/>
            <w:vMerge/>
            <w:shd w:val="clear" w:color="auto" w:fill="auto"/>
          </w:tcPr>
          <w:p w:rsidR="00B123A6" w:rsidRPr="003E4C3E" w:rsidRDefault="00B123A6" w:rsidP="00190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Изучить принципы проектирования объектов графического дизайна: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разработка логотипа и фирменного стиля;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проектирование упаковки и этикетки;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создание полиграфической продукции (плакаты, буклеты, журналы);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создание иллюстраций и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инфографики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разработка типографических композиций.</w:t>
            </w:r>
          </w:p>
          <w:p w:rsidR="00B123A6" w:rsidRPr="003E4C3E" w:rsidRDefault="00B123A6" w:rsidP="00B1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Изучить основы композиции,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типографики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колористики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и визуальной иерархии. Проанализировать успешные кейсы</w:t>
            </w:r>
          </w:p>
        </w:tc>
      </w:tr>
      <w:tr w:rsidR="00B123A6" w:rsidRPr="003E4C3E" w:rsidTr="00B123A6">
        <w:trPr>
          <w:trHeight w:val="666"/>
        </w:trPr>
        <w:tc>
          <w:tcPr>
            <w:tcW w:w="1838" w:type="dxa"/>
            <w:shd w:val="clear" w:color="auto" w:fill="auto"/>
          </w:tcPr>
          <w:p w:rsidR="00B123A6" w:rsidRPr="003E4C3E" w:rsidRDefault="00030721" w:rsidP="00190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Практический опыт разработки технического задания и дизайн-концепции</w:t>
            </w:r>
          </w:p>
        </w:tc>
        <w:tc>
          <w:tcPr>
            <w:tcW w:w="7620" w:type="dxa"/>
            <w:shd w:val="clear" w:color="auto" w:fill="auto"/>
          </w:tcPr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Дизайн-проектирование: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разработка дизайн-концепции;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создание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мудборда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и подбор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референсов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определение стилистического направления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Проектная графика: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выполнение ручных эскизов и скетчей;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работа с форматами и модульными сетками.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Растровая графика: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обработка и ретушь изображений в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Photoshop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создание коллажей и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фотокомпозиций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работа с текстурами и эффектами;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подготовка макетов для печати.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Векторная графика: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создание логотипов и иконок в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Illustrator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разработка иллюстраций и паттернов;</w:t>
            </w:r>
          </w:p>
          <w:p w:rsidR="00030721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 xml:space="preserve">работа с </w:t>
            </w:r>
            <w:proofErr w:type="spellStart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типографикой</w:t>
            </w:r>
            <w:proofErr w:type="spellEnd"/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 и шрифтовыми композициями;</w:t>
            </w:r>
          </w:p>
          <w:p w:rsidR="00B123A6" w:rsidRPr="003E4C3E" w:rsidRDefault="00030721" w:rsidP="000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•</w:t>
            </w: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ab/>
              <w:t>подготовка векторных макетов.</w:t>
            </w:r>
          </w:p>
        </w:tc>
      </w:tr>
    </w:tbl>
    <w:p w:rsidR="00C1651B" w:rsidRPr="007015B6" w:rsidRDefault="00C1651B" w:rsidP="0046672F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7" w:name="_Toc191376021"/>
      <w:bookmarkStart w:id="8" w:name="_Toc215825655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Оформление отчета о прохождении учебной практики</w:t>
      </w:r>
      <w:bookmarkEnd w:id="7"/>
      <w:bookmarkEnd w:id="8"/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прохождении учебной практики должен быть представлен на белой бумаге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страницы отчета обязательно должны быть пронумерованы. Нумерация страниц начинается с 1й практической работы с порядковым номером, учитывая титульный лист и содержание. Номера страниц проставляются внизу страницы в центре.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титульным листом располагают СОДЕРЖАНИЕ, с выделением разделов и подразделов.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наглядности в </w:t>
      </w:r>
      <w:r w:rsidRPr="00C1651B">
        <w:rPr>
          <w:rFonts w:ascii="Times New Roman" w:eastAsia="Calibri" w:hAnsi="Times New Roman" w:cs="Times New Roman"/>
          <w:sz w:val="28"/>
          <w:szCs w:val="28"/>
        </w:rPr>
        <w:t>отчете по практике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 w:rsidR="00030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картинки, фотографии о проделанной работе,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четк</w:t>
      </w:r>
      <w:r w:rsidR="0046672F"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красиво, желательно в цвете.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 должен содержать пустые листы.</w:t>
      </w:r>
    </w:p>
    <w:p w:rsidR="0046672F" w:rsidRPr="00C1651B" w:rsidRDefault="0046672F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51B" w:rsidRPr="007015B6" w:rsidRDefault="00C1651B" w:rsidP="0046672F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9" w:name="_Toc191376022"/>
      <w:bookmarkStart w:id="10" w:name="_Toc215825656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Информационные ресурсы, используемые при проведении практики</w:t>
      </w:r>
      <w:bookmarkEnd w:id="9"/>
      <w:bookmarkEnd w:id="10"/>
    </w:p>
    <w:p w:rsidR="003E4C3E" w:rsidRPr="005945C7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945C7">
        <w:rPr>
          <w:rFonts w:ascii="Times New Roman" w:eastAsia="Times New Roman" w:hAnsi="Times New Roman"/>
          <w:sz w:val="28"/>
          <w:szCs w:val="28"/>
        </w:rPr>
        <w:t xml:space="preserve">1. Основы конструирования и технического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дизайна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учебное пособие : [16+] / сост. Н. С. Гришин ; Казанский национальный исследовательский технологический университет. –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Казань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Казанский национальный исследовательский технологический университет (КНИТУ), 2022. – 616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ил., табл. – Режим доступа: по подписке. – URL: </w:t>
      </w:r>
      <w:hyperlink r:id="rId7" w:history="1"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https://biblioclub.ru/index.php?page=book&amp;id=702028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945C7">
        <w:rPr>
          <w:rFonts w:ascii="Times New Roman" w:eastAsia="Times New Roman" w:hAnsi="Times New Roman"/>
          <w:sz w:val="28"/>
          <w:szCs w:val="28"/>
        </w:rPr>
        <w:t xml:space="preserve">2. Зорина, И. Л. Основы объемно-пространственной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композиции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пространственная пропедевтика : учебник : [16+] / И. Л. Зорина. –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945C7">
        <w:rPr>
          <w:rFonts w:ascii="Times New Roman" w:eastAsia="Times New Roman" w:hAnsi="Times New Roman"/>
          <w:sz w:val="28"/>
          <w:szCs w:val="28"/>
        </w:rPr>
        <w:t>Директ</w:t>
      </w:r>
      <w:proofErr w:type="spellEnd"/>
      <w:r w:rsidRPr="005945C7">
        <w:rPr>
          <w:rFonts w:ascii="Times New Roman" w:eastAsia="Times New Roman" w:hAnsi="Times New Roman"/>
          <w:sz w:val="28"/>
          <w:szCs w:val="28"/>
        </w:rPr>
        <w:t xml:space="preserve">-Медиа, 2023. – 144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8" w:history="1"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https://biblioclub.ru/index.php?page=book&amp;id=699986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 w:rsidRPr="005945C7">
        <w:rPr>
          <w:rFonts w:ascii="Times New Roman" w:eastAsia="Times New Roman" w:hAnsi="Times New Roman"/>
          <w:sz w:val="28"/>
          <w:szCs w:val="28"/>
        </w:rPr>
        <w:t>Ковешникова</w:t>
      </w:r>
      <w:proofErr w:type="spellEnd"/>
      <w:r w:rsidRPr="005945C7">
        <w:rPr>
          <w:rFonts w:ascii="Times New Roman" w:eastAsia="Times New Roman" w:hAnsi="Times New Roman"/>
          <w:sz w:val="28"/>
          <w:szCs w:val="28"/>
        </w:rPr>
        <w:t xml:space="preserve">, Н. А. История дизайна. Краткий курс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лекций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учебное пособие для СПО / Н. А. </w:t>
      </w:r>
      <w:proofErr w:type="spellStart"/>
      <w:r w:rsidRPr="005945C7">
        <w:rPr>
          <w:rFonts w:ascii="Times New Roman" w:eastAsia="Times New Roman" w:hAnsi="Times New Roman"/>
          <w:sz w:val="28"/>
          <w:szCs w:val="28"/>
        </w:rPr>
        <w:t>Ковешникова</w:t>
      </w:r>
      <w:proofErr w:type="spellEnd"/>
      <w:r w:rsidRPr="005945C7">
        <w:rPr>
          <w:rFonts w:ascii="Times New Roman" w:eastAsia="Times New Roman" w:hAnsi="Times New Roman"/>
          <w:sz w:val="28"/>
          <w:szCs w:val="28"/>
        </w:rPr>
        <w:t>. — 2-е изд., стер. — Санкт-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Петербург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Лань, 2025. — 136 с. — ISBN 978-5-507-52845-5. —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Текст 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https://e.lanbook.com/book/460733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Никитенков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, С. А. Рисунок фигуры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человека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: [16+] / С. А. 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Никитенков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 ; Липецкий государственный педагогический университет им. П. П. Семенова-Тян-Шанского. – 2-е изд., 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. и доп. –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Липецк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Липецкий государственный педагогический университет им. П.П. Семенова-Тян-Шанского, 2022. – 81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0" w:history="1">
        <w:r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https://biblioclub.ru/index.php?page=book&amp;id=700499</w:t>
        </w:r>
      </w:hyperlink>
    </w:p>
    <w:p w:rsidR="003E4C3E" w:rsidRPr="001B7036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Pr="001B7036">
        <w:rPr>
          <w:rFonts w:ascii="Times New Roman" w:eastAsia="Times New Roman" w:hAnsi="Times New Roman"/>
          <w:sz w:val="28"/>
          <w:szCs w:val="28"/>
        </w:rPr>
        <w:t xml:space="preserve">Алиева, О. О. Академический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рисунок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/ О. О. Алиева ; Уральский государственный архитектурно-художественный университет (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УрГАХУ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). –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Екатеринбург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Уральский государственный архитектурно-художественный университет (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УрГАХУ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), 2021. – Часть 1. – 126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1" w:history="1">
        <w:r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https://biblioclub.ru/index.php?page=book&amp;id=685891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Бербаш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, Т. И. Работа над исторической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картиной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: [16+] / Т. И. </w:t>
      </w:r>
      <w:proofErr w:type="spellStart"/>
      <w:r w:rsidRPr="001B7036">
        <w:rPr>
          <w:rFonts w:ascii="Times New Roman" w:eastAsia="Times New Roman" w:hAnsi="Times New Roman"/>
          <w:sz w:val="28"/>
          <w:szCs w:val="28"/>
        </w:rPr>
        <w:t>Бербаш</w:t>
      </w:r>
      <w:proofErr w:type="spellEnd"/>
      <w:r w:rsidRPr="001B7036">
        <w:rPr>
          <w:rFonts w:ascii="Times New Roman" w:eastAsia="Times New Roman" w:hAnsi="Times New Roman"/>
          <w:sz w:val="28"/>
          <w:szCs w:val="28"/>
        </w:rPr>
        <w:t xml:space="preserve"> ; Липецкий государственный педагогический университет им. П. П. Семенова-Тян-Шанского. –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Липецк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Липецкий государственный педагогический университет им. П.П. Семенова-Тян-Шанского, 2022. – 96 </w:t>
      </w:r>
      <w:proofErr w:type="gramStart"/>
      <w:r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2" w:history="1">
        <w:r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https://biblioclub.ru/index.php?page=book&amp;id=700439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79139C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Дополнительная литература:</w:t>
      </w:r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bookmarkStart w:id="11" w:name="_Hlk159842400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1. Шестакович, Т. Г. Основы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композиции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Т. Г. Шестакович.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2022. – 193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3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https://biblioclub.ru/index.php?page=book&amp;id=711525</w:t>
        </w:r>
      </w:hyperlink>
      <w:bookmarkEnd w:id="11"/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А. Л. </w:t>
      </w:r>
      <w:proofErr w:type="spellStart"/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Цветоведение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А. Л.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2019. – 161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4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https://biblioclub.ru/index.php?page=book&amp;id=600115</w:t>
        </w:r>
      </w:hyperlink>
    </w:p>
    <w:p w:rsidR="003E4C3E" w:rsidRPr="001B7036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3.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Р. Ф. Ведение масляной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живописи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«техника старых мастеров» : учебное пособие : [12+] / Р. Ф.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Москва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Директ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-Медиа, 2022. – 224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5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https://biblioclub.ru/index.php?page=book&amp;id=693267</w:t>
        </w:r>
      </w:hyperlink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 </w:t>
      </w:r>
    </w:p>
    <w:sectPr w:rsidR="003E4C3E" w:rsidRPr="001B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256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E5637"/>
    <w:multiLevelType w:val="hybridMultilevel"/>
    <w:tmpl w:val="68AE623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513A2"/>
    <w:multiLevelType w:val="hybridMultilevel"/>
    <w:tmpl w:val="BBB6BEDE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18153D"/>
    <w:multiLevelType w:val="hybridMultilevel"/>
    <w:tmpl w:val="CE1C96C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350673"/>
    <w:multiLevelType w:val="hybridMultilevel"/>
    <w:tmpl w:val="34D2CEE6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747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E4CC2"/>
    <w:multiLevelType w:val="multilevel"/>
    <w:tmpl w:val="CFB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21589"/>
    <w:multiLevelType w:val="hybridMultilevel"/>
    <w:tmpl w:val="F0BE528E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EE1DE4"/>
    <w:multiLevelType w:val="hybridMultilevel"/>
    <w:tmpl w:val="0DC0FC18"/>
    <w:lvl w:ilvl="0" w:tplc="A43C0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EE6"/>
    <w:multiLevelType w:val="multilevel"/>
    <w:tmpl w:val="F65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F0B47"/>
    <w:multiLevelType w:val="hybridMultilevel"/>
    <w:tmpl w:val="C55E3E82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44FEC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2359A"/>
    <w:multiLevelType w:val="multilevel"/>
    <w:tmpl w:val="3A8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75B66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A3A5E"/>
    <w:multiLevelType w:val="multilevel"/>
    <w:tmpl w:val="B19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7106"/>
    <w:multiLevelType w:val="hybridMultilevel"/>
    <w:tmpl w:val="6226A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C63B2C"/>
    <w:multiLevelType w:val="multilevel"/>
    <w:tmpl w:val="926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912BD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865B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E97134"/>
    <w:multiLevelType w:val="hybridMultilevel"/>
    <w:tmpl w:val="4B763ECC"/>
    <w:lvl w:ilvl="0" w:tplc="28AED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08E"/>
    <w:multiLevelType w:val="multilevel"/>
    <w:tmpl w:val="C7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2353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E1DA0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F74E0"/>
    <w:multiLevelType w:val="hybridMultilevel"/>
    <w:tmpl w:val="2054938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6D7333"/>
    <w:multiLevelType w:val="hybridMultilevel"/>
    <w:tmpl w:val="7AB043E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E3A8B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BE3D01"/>
    <w:multiLevelType w:val="hybridMultilevel"/>
    <w:tmpl w:val="2F925618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6E0BF9"/>
    <w:multiLevelType w:val="hybridMultilevel"/>
    <w:tmpl w:val="0D3655C4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8A11FE"/>
    <w:multiLevelType w:val="multilevel"/>
    <w:tmpl w:val="D48CA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1"/>
  </w:num>
  <w:num w:numId="3">
    <w:abstractNumId w:val="8"/>
  </w:num>
  <w:num w:numId="4">
    <w:abstractNumId w:val="15"/>
  </w:num>
  <w:num w:numId="5">
    <w:abstractNumId w:val="5"/>
  </w:num>
  <w:num w:numId="6">
    <w:abstractNumId w:val="17"/>
  </w:num>
  <w:num w:numId="7">
    <w:abstractNumId w:val="26"/>
  </w:num>
  <w:num w:numId="8">
    <w:abstractNumId w:val="11"/>
  </w:num>
  <w:num w:numId="9">
    <w:abstractNumId w:val="21"/>
  </w:num>
  <w:num w:numId="10">
    <w:abstractNumId w:val="6"/>
  </w:num>
  <w:num w:numId="11">
    <w:abstractNumId w:val="9"/>
  </w:num>
  <w:num w:numId="12">
    <w:abstractNumId w:val="12"/>
  </w:num>
  <w:num w:numId="13">
    <w:abstractNumId w:val="23"/>
  </w:num>
  <w:num w:numId="14">
    <w:abstractNumId w:val="18"/>
  </w:num>
  <w:num w:numId="15">
    <w:abstractNumId w:val="0"/>
  </w:num>
  <w:num w:numId="16">
    <w:abstractNumId w:val="19"/>
  </w:num>
  <w:num w:numId="17">
    <w:abstractNumId w:val="14"/>
  </w:num>
  <w:num w:numId="18">
    <w:abstractNumId w:val="16"/>
  </w:num>
  <w:num w:numId="19">
    <w:abstractNumId w:val="7"/>
  </w:num>
  <w:num w:numId="20">
    <w:abstractNumId w:val="1"/>
  </w:num>
  <w:num w:numId="21">
    <w:abstractNumId w:val="25"/>
  </w:num>
  <w:num w:numId="22">
    <w:abstractNumId w:val="30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22"/>
  </w:num>
  <w:num w:numId="28">
    <w:abstractNumId w:val="13"/>
  </w:num>
  <w:num w:numId="29">
    <w:abstractNumId w:val="28"/>
  </w:num>
  <w:num w:numId="30">
    <w:abstractNumId w:val="20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1"/>
    <w:rsid w:val="00030721"/>
    <w:rsid w:val="00190BD9"/>
    <w:rsid w:val="00321B7B"/>
    <w:rsid w:val="003420CD"/>
    <w:rsid w:val="00367B6E"/>
    <w:rsid w:val="003E4C3E"/>
    <w:rsid w:val="004012B9"/>
    <w:rsid w:val="0040752C"/>
    <w:rsid w:val="00463801"/>
    <w:rsid w:val="0046672F"/>
    <w:rsid w:val="005429F1"/>
    <w:rsid w:val="00581DF1"/>
    <w:rsid w:val="005D189D"/>
    <w:rsid w:val="00637FF1"/>
    <w:rsid w:val="007015B6"/>
    <w:rsid w:val="00805059"/>
    <w:rsid w:val="0087789E"/>
    <w:rsid w:val="00890F8D"/>
    <w:rsid w:val="009160CE"/>
    <w:rsid w:val="00A4749B"/>
    <w:rsid w:val="00AA0714"/>
    <w:rsid w:val="00B123A6"/>
    <w:rsid w:val="00B3652C"/>
    <w:rsid w:val="00B52C5E"/>
    <w:rsid w:val="00B646B2"/>
    <w:rsid w:val="00C1651B"/>
    <w:rsid w:val="00D916D1"/>
    <w:rsid w:val="00DF2B8E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536"/>
  <w15:chartTrackingRefBased/>
  <w15:docId w15:val="{3B1AC607-EF21-4DEE-9ABC-B1CCA535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3420C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3420CD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5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0505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5059"/>
    <w:pPr>
      <w:spacing w:after="100"/>
    </w:pPr>
  </w:style>
  <w:style w:type="character" w:styleId="a5">
    <w:name w:val="Hyperlink"/>
    <w:basedOn w:val="a0"/>
    <w:uiPriority w:val="99"/>
    <w:unhideWhenUsed/>
    <w:rsid w:val="00805059"/>
    <w:rPr>
      <w:color w:val="0563C1" w:themeColor="hyperlink"/>
      <w:u w:val="single"/>
    </w:rPr>
  </w:style>
  <w:style w:type="character" w:customStyle="1" w:styleId="FontStyle207">
    <w:name w:val="Font Style207"/>
    <w:rsid w:val="00C1651B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C1651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C1651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C1651B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1651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51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3E4C3E"/>
    <w:pPr>
      <w:tabs>
        <w:tab w:val="left" w:pos="660"/>
        <w:tab w:val="right" w:leader="dot" w:pos="9345"/>
      </w:tabs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A474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890F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E4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72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99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3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5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5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79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71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5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7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47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12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53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9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6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41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86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18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33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55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4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9986" TargetMode="External"/><Relationship Id="rId13" Type="http://schemas.openxmlformats.org/officeDocument/2006/relationships/hyperlink" Target="https://biblioclub.ru/index.php?page=book&amp;id=711525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702028" TargetMode="External"/><Relationship Id="rId12" Type="http://schemas.openxmlformats.org/officeDocument/2006/relationships/hyperlink" Target="https://biblioclub.ru/index.php?page=book&amp;id=7004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685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93267" TargetMode="External"/><Relationship Id="rId10" Type="http://schemas.openxmlformats.org/officeDocument/2006/relationships/hyperlink" Target="https://biblioclub.ru/index.php?page=book&amp;id=7004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60733" TargetMode="External"/><Relationship Id="rId14" Type="http://schemas.openxmlformats.org/officeDocument/2006/relationships/hyperlink" Target="https://biblioclub.ru/index.php?page=book&amp;id=6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3039-D520-4250-882E-9A205007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1804</Words>
  <Characters>10288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Общие положения</vt:lpstr>
      <vt:lpstr>Место и время проведения практики</vt:lpstr>
      <vt:lpstr>    Структура отчета о прохождении учебной практики</vt:lpstr>
      <vt:lpstr>Оформление отчета о прохождении учебной практики</vt:lpstr>
      <vt:lpstr>Информационные ресурсы, используемые при проведении практики</vt:lpstr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5</cp:revision>
  <dcterms:created xsi:type="dcterms:W3CDTF">2025-10-06T13:13:00Z</dcterms:created>
  <dcterms:modified xsi:type="dcterms:W3CDTF">2025-12-05T08:45:00Z</dcterms:modified>
</cp:coreProperties>
</file>